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5F29" w14:textId="77777777" w:rsidR="009A4186" w:rsidRPr="00AA48ED" w:rsidRDefault="008B7BFD" w:rsidP="008B7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A48ED">
        <w:rPr>
          <w:rFonts w:ascii="Arial" w:hAnsi="Arial" w:cs="Arial"/>
          <w:b/>
          <w:color w:val="010000"/>
          <w:sz w:val="20"/>
        </w:rPr>
        <w:t>PNP: Board Resolution</w:t>
      </w:r>
    </w:p>
    <w:p w14:paraId="24F660B1" w14:textId="77777777" w:rsidR="009A4186" w:rsidRPr="00AA48ED" w:rsidRDefault="008B7BFD" w:rsidP="008B7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8ED">
        <w:rPr>
          <w:rFonts w:ascii="Arial" w:hAnsi="Arial" w:cs="Arial"/>
          <w:color w:val="010000"/>
          <w:sz w:val="20"/>
        </w:rPr>
        <w:t>On December 28, 2023, Phu Huu – Newport Corporation announced Resolution No. 16/NQ-HDQT on the approval of the key targets for the production, business, and investment plan for the year 2024 as follows:</w:t>
      </w:r>
    </w:p>
    <w:p w14:paraId="1AE83402" w14:textId="77777777" w:rsidR="009A4186" w:rsidRPr="00AA48ED" w:rsidRDefault="008B7BFD" w:rsidP="008B7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8ED">
        <w:rPr>
          <w:rFonts w:ascii="Arial" w:hAnsi="Arial" w:cs="Arial"/>
          <w:color w:val="010000"/>
          <w:sz w:val="20"/>
        </w:rPr>
        <w:t>‎‎Article 1. The Board of Directors unanimously approves the key targets for the production, business, and investment plan for the year 2024 of Phu Huu – Newport Corporation as follows:</w:t>
      </w:r>
    </w:p>
    <w:p w14:paraId="591FE2B4" w14:textId="77777777" w:rsidR="009A4186" w:rsidRPr="00AA48ED" w:rsidRDefault="008B7BFD" w:rsidP="008B7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8ED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1"/>
        <w:gridCol w:w="2972"/>
        <w:gridCol w:w="2611"/>
        <w:gridCol w:w="2573"/>
      </w:tblGrid>
      <w:tr w:rsidR="009A4186" w:rsidRPr="00AA48ED" w14:paraId="72D32F03" w14:textId="77777777" w:rsidTr="008B7BFD"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8F326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4D7E5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B0C90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Estimated results in 2023</w:t>
            </w:r>
          </w:p>
        </w:tc>
        <w:tc>
          <w:tcPr>
            <w:tcW w:w="1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DB5C6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The plan for the year 2024</w:t>
            </w:r>
          </w:p>
        </w:tc>
      </w:tr>
      <w:tr w:rsidR="009A4186" w:rsidRPr="00AA48ED" w14:paraId="4E7E9C3E" w14:textId="77777777" w:rsidTr="008B7BFD"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F8E3C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06F4A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A150B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342,591,181,500</w:t>
            </w:r>
          </w:p>
        </w:tc>
        <w:tc>
          <w:tcPr>
            <w:tcW w:w="1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61273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348,111,816,747</w:t>
            </w:r>
          </w:p>
        </w:tc>
      </w:tr>
      <w:tr w:rsidR="009A4186" w:rsidRPr="00AA48ED" w14:paraId="6737FF7C" w14:textId="77777777" w:rsidTr="008B7BFD"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CE7E3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8E8D9" w14:textId="504E1F8F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9B090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51,744,301,499</w:t>
            </w:r>
          </w:p>
        </w:tc>
        <w:tc>
          <w:tcPr>
            <w:tcW w:w="1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75517" w14:textId="77777777" w:rsidR="009A4186" w:rsidRPr="00AA48ED" w:rsidRDefault="008B7BFD" w:rsidP="008B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48ED">
              <w:rPr>
                <w:rFonts w:ascii="Arial" w:hAnsi="Arial" w:cs="Arial"/>
                <w:color w:val="010000"/>
                <w:sz w:val="20"/>
              </w:rPr>
              <w:t>51,720,023,703</w:t>
            </w:r>
          </w:p>
        </w:tc>
      </w:tr>
    </w:tbl>
    <w:p w14:paraId="6A5137B9" w14:textId="628A9A16" w:rsidR="009A4186" w:rsidRPr="00AA48ED" w:rsidRDefault="008B7BFD" w:rsidP="008B7B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48ED">
        <w:rPr>
          <w:rFonts w:ascii="Arial" w:hAnsi="Arial" w:cs="Arial"/>
          <w:color w:val="010000"/>
          <w:sz w:val="20"/>
        </w:rPr>
        <w:t xml:space="preserve">‎‎Article 2. The Board of Directors assigns the </w:t>
      </w:r>
      <w:r w:rsidR="00AA48ED" w:rsidRPr="00AA48ED">
        <w:rPr>
          <w:rFonts w:ascii="Arial" w:hAnsi="Arial" w:cs="Arial"/>
          <w:color w:val="010000"/>
          <w:sz w:val="20"/>
        </w:rPr>
        <w:t>Manager</w:t>
      </w:r>
      <w:r w:rsidRPr="00AA48ED">
        <w:rPr>
          <w:rFonts w:ascii="Arial" w:hAnsi="Arial" w:cs="Arial"/>
          <w:color w:val="010000"/>
          <w:sz w:val="20"/>
        </w:rPr>
        <w:t xml:space="preserve"> of the Company base</w:t>
      </w:r>
      <w:r w:rsidR="00AA48ED" w:rsidRPr="00AA48ED">
        <w:rPr>
          <w:rFonts w:ascii="Arial" w:hAnsi="Arial" w:cs="Arial"/>
          <w:color w:val="010000"/>
          <w:sz w:val="20"/>
        </w:rPr>
        <w:t xml:space="preserve">d </w:t>
      </w:r>
      <w:r w:rsidR="00AA48ED" w:rsidRPr="00AA48ED">
        <w:rPr>
          <w:rFonts w:ascii="Arial" w:hAnsi="Arial" w:cs="Arial"/>
          <w:color w:val="010000"/>
          <w:sz w:val="20"/>
        </w:rPr>
        <w:t>on the audited financial figures</w:t>
      </w:r>
      <w:r w:rsidRPr="00AA48ED">
        <w:rPr>
          <w:rFonts w:ascii="Arial" w:hAnsi="Arial" w:cs="Arial"/>
          <w:color w:val="010000"/>
          <w:sz w:val="20"/>
        </w:rPr>
        <w:t xml:space="preserve"> </w:t>
      </w:r>
      <w:r w:rsidR="00AA48ED" w:rsidRPr="00AA48ED">
        <w:rPr>
          <w:rFonts w:ascii="Arial" w:hAnsi="Arial" w:cs="Arial"/>
          <w:color w:val="010000"/>
          <w:sz w:val="20"/>
        </w:rPr>
        <w:t xml:space="preserve">to make documents </w:t>
      </w:r>
      <w:r w:rsidRPr="00AA48ED">
        <w:rPr>
          <w:rFonts w:ascii="Arial" w:hAnsi="Arial" w:cs="Arial"/>
          <w:color w:val="010000"/>
          <w:sz w:val="20"/>
        </w:rPr>
        <w:t>for the Annual General Meeting of Shareholders 2024.</w:t>
      </w:r>
    </w:p>
    <w:sectPr w:rsidR="009A4186" w:rsidRPr="00AA48ED" w:rsidSect="008B7BF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86"/>
    <w:rsid w:val="008B7BFD"/>
    <w:rsid w:val="009A4186"/>
    <w:rsid w:val="00A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411E3"/>
  <w15:docId w15:val="{1E6A7390-11CF-42F2-92D2-6DF8F52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uEl+YVO/KLiJ3XKnOO8++SCxog==">CgMxLjA4AHIhMWR2R1VGNXh4YUdmclhtSjd3UkItOExiMXRCaXJHR0FN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21</Lines>
  <Paragraphs>19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2024-01-02T12:29:00Z</dcterms:created>
  <dcterms:modified xsi:type="dcterms:W3CDTF">2024-01-03T01:57:00Z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6e4135784e948c456ecb4d4b57ebdb76a500efe88852e636b51970da8f3b6721</vt:lpwstr>
  </property>
</Properties>
</file>