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C55DF" w:rsidRPr="007F362C" w:rsidRDefault="007F362C" w:rsidP="00D55D9F">
      <w:pPr>
        <w:pBdr>
          <w:top w:val="nil"/>
          <w:left w:val="nil"/>
          <w:bottom w:val="nil"/>
          <w:right w:val="nil"/>
          <w:between w:val="nil"/>
        </w:pBdr>
        <w:spacing w:after="120" w:line="360" w:lineRule="auto"/>
        <w:jc w:val="both"/>
        <w:rPr>
          <w:rFonts w:ascii="Arial" w:eastAsia="Arial" w:hAnsi="Arial" w:cs="Arial"/>
          <w:b/>
          <w:color w:val="010000"/>
          <w:sz w:val="20"/>
          <w:szCs w:val="20"/>
        </w:rPr>
      </w:pPr>
      <w:r w:rsidRPr="007F362C">
        <w:rPr>
          <w:rFonts w:ascii="Arial" w:hAnsi="Arial" w:cs="Arial"/>
          <w:b/>
          <w:color w:val="010000"/>
          <w:sz w:val="20"/>
        </w:rPr>
        <w:t>CDN: Board Resolution</w:t>
      </w:r>
    </w:p>
    <w:p w14:paraId="00000002" w14:textId="77777777" w:rsidR="004C55DF" w:rsidRPr="007F362C" w:rsidRDefault="007F362C" w:rsidP="00D55D9F">
      <w:pPr>
        <w:pBdr>
          <w:top w:val="nil"/>
          <w:left w:val="nil"/>
          <w:bottom w:val="nil"/>
          <w:right w:val="nil"/>
          <w:between w:val="nil"/>
        </w:pBdr>
        <w:spacing w:after="120" w:line="360" w:lineRule="auto"/>
        <w:jc w:val="both"/>
        <w:rPr>
          <w:rFonts w:ascii="Arial" w:eastAsia="Arial" w:hAnsi="Arial" w:cs="Arial"/>
          <w:color w:val="010000"/>
          <w:sz w:val="20"/>
          <w:szCs w:val="20"/>
        </w:rPr>
      </w:pPr>
      <w:r w:rsidRPr="007F362C">
        <w:rPr>
          <w:rFonts w:ascii="Arial" w:hAnsi="Arial" w:cs="Arial"/>
          <w:color w:val="010000"/>
          <w:sz w:val="20"/>
        </w:rPr>
        <w:t>On January 23, 2024, Danang Port Joint Stock Company announced Resolution No. 12/NQ-CDN on the policy of signing economic contracts and appendices between Danang Port Joint Stock Company and Da Nang Port Logistics Joint Stock Company as follow</w:t>
      </w:r>
      <w:bookmarkStart w:id="0" w:name="_GoBack"/>
      <w:bookmarkEnd w:id="0"/>
      <w:r w:rsidRPr="007F362C">
        <w:rPr>
          <w:rFonts w:ascii="Arial" w:hAnsi="Arial" w:cs="Arial"/>
          <w:color w:val="010000"/>
          <w:sz w:val="20"/>
        </w:rPr>
        <w:t xml:space="preserve">s: </w:t>
      </w:r>
    </w:p>
    <w:p w14:paraId="00000003" w14:textId="77777777" w:rsidR="004C55DF" w:rsidRPr="007F362C" w:rsidRDefault="007F362C" w:rsidP="00D55D9F">
      <w:pPr>
        <w:pBdr>
          <w:top w:val="nil"/>
          <w:left w:val="nil"/>
          <w:bottom w:val="nil"/>
          <w:right w:val="nil"/>
          <w:between w:val="nil"/>
        </w:pBdr>
        <w:spacing w:after="120" w:line="360" w:lineRule="auto"/>
        <w:jc w:val="both"/>
        <w:rPr>
          <w:rFonts w:ascii="Arial" w:eastAsia="Arial" w:hAnsi="Arial" w:cs="Arial"/>
          <w:color w:val="010000"/>
          <w:sz w:val="20"/>
          <w:szCs w:val="20"/>
        </w:rPr>
      </w:pPr>
      <w:r w:rsidRPr="007F362C">
        <w:rPr>
          <w:rFonts w:ascii="Arial" w:hAnsi="Arial" w:cs="Arial"/>
          <w:color w:val="010000"/>
          <w:sz w:val="20"/>
        </w:rPr>
        <w:t>‎‎Article 1. Approve the policy of signing economic contracts and appendices between Danang Port Joint Stock Company (Da Nang Port) and Da Nang Port Logistics Joint Stock Company (Danalog) according to the General Manager’s proposal of Da Nang Port in Proposal No. 1621/TTr-CDN dated December 26, 2023.</w:t>
      </w:r>
    </w:p>
    <w:p w14:paraId="00000004" w14:textId="77777777" w:rsidR="004C55DF" w:rsidRPr="007F362C" w:rsidRDefault="007F362C" w:rsidP="00D55D9F">
      <w:pPr>
        <w:pBdr>
          <w:top w:val="nil"/>
          <w:left w:val="nil"/>
          <w:bottom w:val="nil"/>
          <w:right w:val="nil"/>
          <w:between w:val="nil"/>
        </w:pBdr>
        <w:spacing w:after="120" w:line="360" w:lineRule="auto"/>
        <w:jc w:val="both"/>
        <w:rPr>
          <w:rFonts w:ascii="Arial" w:eastAsia="Arial" w:hAnsi="Arial" w:cs="Arial"/>
          <w:color w:val="010000"/>
          <w:sz w:val="20"/>
          <w:szCs w:val="20"/>
        </w:rPr>
      </w:pPr>
      <w:r w:rsidRPr="007F362C">
        <w:rPr>
          <w:rFonts w:ascii="Arial" w:hAnsi="Arial" w:cs="Arial"/>
          <w:color w:val="010000"/>
          <w:sz w:val="20"/>
        </w:rPr>
        <w:t>Economic contracts and appendices include:</w:t>
      </w:r>
    </w:p>
    <w:p w14:paraId="00000005"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66"/>
        </w:tabs>
        <w:spacing w:after="120" w:line="360" w:lineRule="auto"/>
        <w:jc w:val="both"/>
        <w:rPr>
          <w:rFonts w:ascii="Arial" w:eastAsia="Arial" w:hAnsi="Arial" w:cs="Arial"/>
          <w:color w:val="010000"/>
          <w:sz w:val="20"/>
          <w:szCs w:val="20"/>
        </w:rPr>
      </w:pPr>
      <w:r w:rsidRPr="007F362C">
        <w:rPr>
          <w:rFonts w:ascii="Arial" w:hAnsi="Arial" w:cs="Arial"/>
          <w:color w:val="010000"/>
          <w:sz w:val="20"/>
        </w:rPr>
        <w:t>Petroleum Sales Contract.</w:t>
      </w:r>
    </w:p>
    <w:p w14:paraId="00000006"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58"/>
        </w:tabs>
        <w:spacing w:after="120" w:line="360" w:lineRule="auto"/>
        <w:jc w:val="both"/>
        <w:rPr>
          <w:rFonts w:ascii="Arial" w:eastAsia="Arial" w:hAnsi="Arial" w:cs="Arial"/>
          <w:color w:val="010000"/>
          <w:sz w:val="20"/>
          <w:szCs w:val="20"/>
        </w:rPr>
      </w:pPr>
      <w:r w:rsidRPr="007F362C">
        <w:rPr>
          <w:rFonts w:ascii="Arial" w:hAnsi="Arial" w:cs="Arial"/>
          <w:color w:val="010000"/>
          <w:sz w:val="20"/>
        </w:rPr>
        <w:t>Principle contract for container repair.</w:t>
      </w:r>
    </w:p>
    <w:p w14:paraId="00000007"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95"/>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for renting tractors and trailers to transport containers in and out of Tien Sa Port.</w:t>
      </w:r>
    </w:p>
    <w:p w14:paraId="00000008"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58"/>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for renting container reach stacker forklift.</w:t>
      </w:r>
    </w:p>
    <w:p w14:paraId="00000009"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98"/>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and contract appendix for providing loading, unloading, transportation and storage services for loaded and empty containers at Danalog.</w:t>
      </w:r>
    </w:p>
    <w:p w14:paraId="0000000A"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98"/>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and contract appendix for loading, unloading, warehousing and transshipment of paper goods at Danalog.</w:t>
      </w:r>
    </w:p>
    <w:p w14:paraId="0000000B"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53"/>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for providing container inspection services at the wharf.</w:t>
      </w:r>
    </w:p>
    <w:p w14:paraId="0000000C"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53"/>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and contract appendix for providing container transportation services by road.</w:t>
      </w:r>
    </w:p>
    <w:p w14:paraId="0000000D" w14:textId="77777777" w:rsidR="004C55DF" w:rsidRPr="007F362C" w:rsidRDefault="007F362C" w:rsidP="00D55D9F">
      <w:pPr>
        <w:numPr>
          <w:ilvl w:val="0"/>
          <w:numId w:val="1"/>
        </w:numPr>
        <w:pBdr>
          <w:top w:val="nil"/>
          <w:left w:val="nil"/>
          <w:bottom w:val="nil"/>
          <w:right w:val="nil"/>
          <w:between w:val="nil"/>
        </w:pBdr>
        <w:tabs>
          <w:tab w:val="left" w:pos="270"/>
          <w:tab w:val="left" w:pos="432"/>
          <w:tab w:val="left" w:pos="853"/>
        </w:tabs>
        <w:spacing w:after="120" w:line="360" w:lineRule="auto"/>
        <w:jc w:val="both"/>
        <w:rPr>
          <w:rFonts w:ascii="Arial" w:eastAsia="Arial" w:hAnsi="Arial" w:cs="Arial"/>
          <w:color w:val="010000"/>
          <w:sz w:val="20"/>
          <w:szCs w:val="20"/>
        </w:rPr>
      </w:pPr>
      <w:r w:rsidRPr="007F362C">
        <w:rPr>
          <w:rFonts w:ascii="Arial" w:hAnsi="Arial" w:cs="Arial"/>
          <w:color w:val="010000"/>
          <w:sz w:val="20"/>
        </w:rPr>
        <w:t>Contract for lifting and delivering containers at the Port yard.</w:t>
      </w:r>
    </w:p>
    <w:p w14:paraId="0000000E" w14:textId="60F9F4DC" w:rsidR="004C55DF" w:rsidRPr="007F362C" w:rsidRDefault="007F362C" w:rsidP="00D55D9F">
      <w:pPr>
        <w:pBdr>
          <w:top w:val="nil"/>
          <w:left w:val="nil"/>
          <w:bottom w:val="nil"/>
          <w:right w:val="nil"/>
          <w:between w:val="nil"/>
        </w:pBdr>
        <w:spacing w:after="120" w:line="360" w:lineRule="auto"/>
        <w:jc w:val="both"/>
        <w:rPr>
          <w:rFonts w:ascii="Arial" w:eastAsia="Arial" w:hAnsi="Arial" w:cs="Arial"/>
          <w:color w:val="010000"/>
          <w:sz w:val="20"/>
          <w:szCs w:val="20"/>
        </w:rPr>
      </w:pPr>
      <w:r w:rsidRPr="007F362C">
        <w:rPr>
          <w:rFonts w:ascii="Arial" w:hAnsi="Arial" w:cs="Arial"/>
          <w:color w:val="010000"/>
          <w:sz w:val="20"/>
        </w:rPr>
        <w:t>‎‎Article 2. Assign the General Manager, the legal representative of Da Nang Port to review, sign and implement economic contracts and appendices between Da Nang Port and Danalog to ensure compliance with current provisions of law, company charter, internal regulations and regulations of Da Nang Port and other relevant regulations in accordance with the market situation, balancing revenue and expenses, ensuring efficiency, bringing economic benefits to Da Nang Port; and disclose information</w:t>
      </w:r>
      <w:r w:rsidR="006D2720" w:rsidRPr="007F362C">
        <w:rPr>
          <w:rFonts w:ascii="Arial" w:hAnsi="Arial" w:cs="Arial"/>
          <w:color w:val="010000"/>
          <w:sz w:val="20"/>
        </w:rPr>
        <w:t xml:space="preserve"> </w:t>
      </w:r>
      <w:r w:rsidRPr="007F362C">
        <w:rPr>
          <w:rFonts w:ascii="Arial" w:hAnsi="Arial" w:cs="Arial"/>
          <w:color w:val="010000"/>
          <w:sz w:val="20"/>
        </w:rPr>
        <w:t>according to regulations./.</w:t>
      </w:r>
    </w:p>
    <w:sectPr w:rsidR="004C55DF" w:rsidRPr="007F362C" w:rsidSect="007F362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025FE"/>
    <w:multiLevelType w:val="multilevel"/>
    <w:tmpl w:val="734E1A1C"/>
    <w:lvl w:ilvl="0">
      <w:start w:val="1"/>
      <w:numFmt w:val="decimal"/>
      <w:lvlText w:val="%1."/>
      <w:lvlJc w:val="left"/>
      <w:pPr>
        <w:ind w:left="0" w:firstLine="0"/>
      </w:pPr>
      <w:rPr>
        <w:rFonts w:ascii="Arial" w:eastAsia="Arial" w:hAnsi="Arial" w:cs="Arial"/>
        <w:b w:val="0"/>
        <w:i w:val="0"/>
        <w:smallCaps w:val="0"/>
        <w:strike w:val="0"/>
        <w:color w:val="31323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4C55DF"/>
    <w:rsid w:val="006D2720"/>
    <w:rsid w:val="007F362C"/>
    <w:rsid w:val="00D55D9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313234"/>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8"/>
      <w:szCs w:val="6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8" w:lineRule="auto"/>
      <w:ind w:firstLine="400"/>
    </w:pPr>
    <w:rPr>
      <w:rFonts w:ascii="Times New Roman" w:eastAsia="Times New Roman" w:hAnsi="Times New Roman" w:cs="Times New Roman"/>
      <w:i/>
      <w:iCs/>
    </w:rPr>
  </w:style>
  <w:style w:type="paragraph" w:customStyle="1" w:styleId="Heading21">
    <w:name w:val="Heading #2"/>
    <w:basedOn w:val="Normal"/>
    <w:link w:val="Heading20"/>
    <w:pPr>
      <w:spacing w:line="262" w:lineRule="auto"/>
      <w:jc w:val="center"/>
      <w:outlineLvl w:val="1"/>
    </w:pPr>
    <w:rPr>
      <w:rFonts w:ascii="Times New Roman" w:eastAsia="Times New Roman" w:hAnsi="Times New Roman" w:cs="Times New Roman"/>
      <w:b/>
      <w:bCs/>
    </w:rPr>
  </w:style>
  <w:style w:type="paragraph" w:customStyle="1" w:styleId="Bodytext30">
    <w:name w:val="Body text (3)"/>
    <w:basedOn w:val="Normal"/>
    <w:link w:val="Bodytext3"/>
    <w:rPr>
      <w:rFonts w:ascii="Arial" w:eastAsia="Arial" w:hAnsi="Arial" w:cs="Arial"/>
      <w:color w:val="313234"/>
      <w:sz w:val="19"/>
      <w:szCs w:val="19"/>
    </w:rPr>
  </w:style>
  <w:style w:type="paragraph" w:customStyle="1" w:styleId="Heading11">
    <w:name w:val="Heading #1"/>
    <w:basedOn w:val="Normal"/>
    <w:link w:val="Heading10"/>
    <w:pPr>
      <w:spacing w:line="233" w:lineRule="auto"/>
      <w:outlineLvl w:val="0"/>
    </w:pPr>
    <w:rPr>
      <w:rFonts w:ascii="Arial" w:eastAsia="Arial" w:hAnsi="Arial" w:cs="Arial"/>
      <w:sz w:val="68"/>
      <w:szCs w:val="68"/>
    </w:rPr>
  </w:style>
  <w:style w:type="paragraph" w:customStyle="1" w:styleId="Bodytext20">
    <w:name w:val="Body text (2)"/>
    <w:basedOn w:val="Normal"/>
    <w:link w:val="Bodytext2"/>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313234"/>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8"/>
      <w:szCs w:val="6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8" w:lineRule="auto"/>
      <w:ind w:firstLine="400"/>
    </w:pPr>
    <w:rPr>
      <w:rFonts w:ascii="Times New Roman" w:eastAsia="Times New Roman" w:hAnsi="Times New Roman" w:cs="Times New Roman"/>
      <w:i/>
      <w:iCs/>
    </w:rPr>
  </w:style>
  <w:style w:type="paragraph" w:customStyle="1" w:styleId="Heading21">
    <w:name w:val="Heading #2"/>
    <w:basedOn w:val="Normal"/>
    <w:link w:val="Heading20"/>
    <w:pPr>
      <w:spacing w:line="262" w:lineRule="auto"/>
      <w:jc w:val="center"/>
      <w:outlineLvl w:val="1"/>
    </w:pPr>
    <w:rPr>
      <w:rFonts w:ascii="Times New Roman" w:eastAsia="Times New Roman" w:hAnsi="Times New Roman" w:cs="Times New Roman"/>
      <w:b/>
      <w:bCs/>
    </w:rPr>
  </w:style>
  <w:style w:type="paragraph" w:customStyle="1" w:styleId="Bodytext30">
    <w:name w:val="Body text (3)"/>
    <w:basedOn w:val="Normal"/>
    <w:link w:val="Bodytext3"/>
    <w:rPr>
      <w:rFonts w:ascii="Arial" w:eastAsia="Arial" w:hAnsi="Arial" w:cs="Arial"/>
      <w:color w:val="313234"/>
      <w:sz w:val="19"/>
      <w:szCs w:val="19"/>
    </w:rPr>
  </w:style>
  <w:style w:type="paragraph" w:customStyle="1" w:styleId="Heading11">
    <w:name w:val="Heading #1"/>
    <w:basedOn w:val="Normal"/>
    <w:link w:val="Heading10"/>
    <w:pPr>
      <w:spacing w:line="233" w:lineRule="auto"/>
      <w:outlineLvl w:val="0"/>
    </w:pPr>
    <w:rPr>
      <w:rFonts w:ascii="Arial" w:eastAsia="Arial" w:hAnsi="Arial" w:cs="Arial"/>
      <w:sz w:val="68"/>
      <w:szCs w:val="68"/>
    </w:rPr>
  </w:style>
  <w:style w:type="paragraph" w:customStyle="1" w:styleId="Bodytext20">
    <w:name w:val="Body text (2)"/>
    <w:basedOn w:val="Normal"/>
    <w:link w:val="Bodytext2"/>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Ve4S0Aw4wk5KPxfTtvTqchUZg==">CgMxLjA4AHIhMUNhc1JKNnpYMjRwdnZzTTV6TGlkTVoxWElZaTdUeS04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2024-01-29T01:38:00Z</dcterms:created>
  <dcterms:modified xsi:type="dcterms:W3CDTF">2024-01-30T06:59:00Z</dcterms:modified>
</cp:coreProperties>
</file>