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1B7D" w14:textId="77777777" w:rsidR="00F94671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b/>
          <w:color w:val="010000"/>
          <w:sz w:val="20"/>
        </w:rPr>
      </w:pPr>
      <w:bookmarkStart w:id="0" w:name="_GoBack"/>
      <w:bookmarkEnd w:id="0"/>
      <w:proofErr w:type="spellStart"/>
      <w:r w:rsidRPr="00F94671">
        <w:rPr>
          <w:rFonts w:ascii="Arial" w:hAnsi="Arial" w:cs="Arial"/>
          <w:b/>
          <w:color w:val="010000"/>
          <w:sz w:val="20"/>
        </w:rPr>
        <w:t>DRG</w:t>
      </w:r>
      <w:proofErr w:type="spellEnd"/>
      <w:r w:rsidRPr="00F94671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On January 26, 2024, </w:t>
      </w:r>
      <w:proofErr w:type="spellStart"/>
      <w:r w:rsidRPr="00F94671">
        <w:rPr>
          <w:rFonts w:ascii="Arial" w:hAnsi="Arial" w:cs="Arial"/>
          <w:color w:val="010000"/>
          <w:sz w:val="20"/>
        </w:rPr>
        <w:t>DakLak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Rubber Joint Stock Company announced Resolution No. 03/NQ-</w:t>
      </w:r>
      <w:proofErr w:type="spellStart"/>
      <w:r w:rsidRPr="00F94671">
        <w:rPr>
          <w:rFonts w:ascii="Arial" w:hAnsi="Arial" w:cs="Arial"/>
          <w:color w:val="010000"/>
          <w:sz w:val="20"/>
        </w:rPr>
        <w:t>HDQT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Article 1: Approve the amended contents of the Company's Charter on Organization and Operation.</w:t>
      </w:r>
    </w:p>
    <w:p w14:paraId="00000004" w14:textId="77777777" w:rsidR="00A9385C" w:rsidRPr="00F94671" w:rsidRDefault="00F94671" w:rsidP="00F946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Amend Point a, Clause 2, Article 44 of the Company's Organization and Operation Regulations, specifically:</w:t>
      </w:r>
    </w:p>
    <w:p w14:paraId="00000005" w14:textId="61ABD119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The assistant apparatus depends on the scale and type of production and business of each unit; </w:t>
      </w:r>
      <w:proofErr w:type="gramStart"/>
      <w:r w:rsidRPr="00F94671">
        <w:rPr>
          <w:rFonts w:ascii="Arial" w:hAnsi="Arial" w:cs="Arial"/>
          <w:color w:val="010000"/>
          <w:sz w:val="20"/>
        </w:rPr>
        <w:t>The</w:t>
      </w:r>
      <w:proofErr w:type="gramEnd"/>
      <w:r w:rsidRPr="00F94671">
        <w:rPr>
          <w:rFonts w:ascii="Arial" w:hAnsi="Arial" w:cs="Arial"/>
          <w:color w:val="010000"/>
          <w:sz w:val="20"/>
        </w:rPr>
        <w:t xml:space="preserve"> assistant apparatus at the Branches is structured as follows:</w:t>
      </w:r>
    </w:p>
    <w:p w14:paraId="00000006" w14:textId="77777777" w:rsidR="00A9385C" w:rsidRPr="00F94671" w:rsidRDefault="00F94671" w:rsidP="00F946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Farm and Factory Branches:</w:t>
      </w:r>
    </w:p>
    <w:p w14:paraId="00000007" w14:textId="77777777" w:rsidR="00A9385C" w:rsidRPr="00F94671" w:rsidRDefault="00F94671" w:rsidP="00F946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Regarding organizational structure:</w:t>
      </w:r>
    </w:p>
    <w:p w14:paraId="00000008" w14:textId="77777777" w:rsidR="00A9385C" w:rsidRPr="00F94671" w:rsidRDefault="00F94671" w:rsidP="00F9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Human Resources - Security Department.</w:t>
      </w:r>
    </w:p>
    <w:p w14:paraId="00000009" w14:textId="77777777" w:rsidR="00A9385C" w:rsidRPr="00F94671" w:rsidRDefault="00F94671" w:rsidP="00F9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Technical Department.</w:t>
      </w:r>
    </w:p>
    <w:p w14:paraId="0000000A" w14:textId="77777777" w:rsidR="00A9385C" w:rsidRPr="00F94671" w:rsidRDefault="00F94671" w:rsidP="00F9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Accounting Department.</w:t>
      </w:r>
    </w:p>
    <w:p w14:paraId="0000000B" w14:textId="77777777" w:rsidR="00A9385C" w:rsidRPr="00F94671" w:rsidRDefault="00F94671" w:rsidP="00F9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Workshops, production teams.</w:t>
      </w:r>
    </w:p>
    <w:p w14:paraId="0000000C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(For the Elastic Thread Processing Plant, in addition to the above organizations, the structure includes an additional Sales - Import-Export Department).</w:t>
      </w:r>
    </w:p>
    <w:p w14:paraId="0000000D" w14:textId="77777777" w:rsidR="00A9385C" w:rsidRPr="00F94671" w:rsidRDefault="00F94671" w:rsidP="00F946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Other contents in the Company's Organization and Operation Regulations remain unchanged.</w:t>
      </w:r>
    </w:p>
    <w:p w14:paraId="0000000E" w14:textId="77777777" w:rsidR="00A9385C" w:rsidRPr="00F94671" w:rsidRDefault="00F94671" w:rsidP="00F946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Authorize the Chair of the Board of Directors to issue a Decision amending the Company's regulations on organization and operation.</w:t>
      </w:r>
    </w:p>
    <w:p w14:paraId="0000000F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Article 2: On the loan policy at </w:t>
      </w:r>
      <w:proofErr w:type="spellStart"/>
      <w:r w:rsidRPr="00F94671">
        <w:rPr>
          <w:rFonts w:ascii="Arial" w:hAnsi="Arial" w:cs="Arial"/>
          <w:color w:val="010000"/>
          <w:sz w:val="20"/>
        </w:rPr>
        <w:t>Vietinbank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in 2024.</w:t>
      </w:r>
    </w:p>
    <w:p w14:paraId="00000010" w14:textId="77777777" w:rsidR="00A9385C" w:rsidRPr="00F94671" w:rsidRDefault="00F94671" w:rsidP="00F94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Agree on loan policy at </w:t>
      </w:r>
      <w:proofErr w:type="spellStart"/>
      <w:r w:rsidRPr="00F94671">
        <w:rPr>
          <w:rFonts w:ascii="Arial" w:hAnsi="Arial" w:cs="Arial"/>
          <w:color w:val="010000"/>
          <w:sz w:val="20"/>
        </w:rPr>
        <w:t>Vietinbank</w:t>
      </w:r>
      <w:proofErr w:type="spellEnd"/>
      <w:r w:rsidRPr="00F94671">
        <w:rPr>
          <w:rFonts w:ascii="Arial" w:hAnsi="Arial" w:cs="Arial"/>
          <w:color w:val="010000"/>
          <w:sz w:val="20"/>
        </w:rPr>
        <w:t>, with the following basic contents:</w:t>
      </w:r>
    </w:p>
    <w:p w14:paraId="00000011" w14:textId="77777777" w:rsidR="00A9385C" w:rsidRPr="00F94671" w:rsidRDefault="00F94671" w:rsidP="00F946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Total loan amount: </w:t>
      </w:r>
      <w:proofErr w:type="spellStart"/>
      <w:r w:rsidRPr="00F94671">
        <w:rPr>
          <w:rFonts w:ascii="Arial" w:hAnsi="Arial" w:cs="Arial"/>
          <w:color w:val="010000"/>
          <w:sz w:val="20"/>
        </w:rPr>
        <w:t>VND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60,000,000,000; loan term: 12 months, for each acknowledgment of debt;</w:t>
      </w:r>
    </w:p>
    <w:p w14:paraId="00000012" w14:textId="77777777" w:rsidR="00A9385C" w:rsidRPr="00F94671" w:rsidRDefault="00F94671" w:rsidP="00F946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Collateral to secure the loan: Mortgage the land use rights and assets attached to the land of </w:t>
      </w:r>
      <w:proofErr w:type="spellStart"/>
      <w:r w:rsidRPr="00F94671">
        <w:rPr>
          <w:rFonts w:ascii="Arial" w:hAnsi="Arial" w:cs="Arial"/>
          <w:color w:val="010000"/>
          <w:sz w:val="20"/>
        </w:rPr>
        <w:t>Cuor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Dang Farm and </w:t>
      </w:r>
      <w:proofErr w:type="spellStart"/>
      <w:r w:rsidRPr="00F94671">
        <w:rPr>
          <w:rFonts w:ascii="Arial" w:hAnsi="Arial" w:cs="Arial"/>
          <w:color w:val="010000"/>
          <w:sz w:val="20"/>
        </w:rPr>
        <w:t>Cukpo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Farm branches owned by </w:t>
      </w:r>
      <w:proofErr w:type="spellStart"/>
      <w:r w:rsidRPr="00F94671">
        <w:rPr>
          <w:rFonts w:ascii="Arial" w:hAnsi="Arial" w:cs="Arial"/>
          <w:color w:val="010000"/>
          <w:sz w:val="20"/>
        </w:rPr>
        <w:t>Dakruco</w:t>
      </w:r>
      <w:proofErr w:type="spellEnd"/>
      <w:r w:rsidRPr="00F94671">
        <w:rPr>
          <w:rFonts w:ascii="Arial" w:hAnsi="Arial" w:cs="Arial"/>
          <w:color w:val="010000"/>
          <w:sz w:val="20"/>
        </w:rPr>
        <w:t>.</w:t>
      </w:r>
    </w:p>
    <w:p w14:paraId="00000013" w14:textId="77777777" w:rsidR="00A9385C" w:rsidRPr="00F94671" w:rsidRDefault="00F94671" w:rsidP="00F94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Assign the General Manager of the Company to implement the loans with </w:t>
      </w:r>
      <w:proofErr w:type="spellStart"/>
      <w:r w:rsidRPr="00F94671">
        <w:rPr>
          <w:rFonts w:ascii="Arial" w:hAnsi="Arial" w:cs="Arial"/>
          <w:color w:val="010000"/>
          <w:sz w:val="20"/>
        </w:rPr>
        <w:t>Vietinbank</w:t>
      </w:r>
      <w:proofErr w:type="spellEnd"/>
      <w:r w:rsidRPr="00F94671">
        <w:rPr>
          <w:rFonts w:ascii="Arial" w:hAnsi="Arial" w:cs="Arial"/>
          <w:color w:val="010000"/>
          <w:sz w:val="20"/>
        </w:rPr>
        <w:t>; In case of necessity, the Deputy General Manager of the Company can be authorized to sign asset mortgage contracts and other legal procedures to disburse loan capital.</w:t>
      </w:r>
    </w:p>
    <w:p w14:paraId="00000014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Article 3: On </w:t>
      </w:r>
      <w:proofErr w:type="spellStart"/>
      <w:r w:rsidRPr="00F94671">
        <w:rPr>
          <w:rFonts w:ascii="Arial" w:hAnsi="Arial" w:cs="Arial"/>
          <w:color w:val="010000"/>
          <w:sz w:val="20"/>
        </w:rPr>
        <w:t>Dakruco's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policy of hiring consultants to adjust projects and request approval for investment policies in projects in Cu Bao Commune, </w:t>
      </w:r>
      <w:proofErr w:type="spellStart"/>
      <w:r w:rsidRPr="00F94671">
        <w:rPr>
          <w:rFonts w:ascii="Arial" w:hAnsi="Arial" w:cs="Arial"/>
          <w:color w:val="010000"/>
          <w:sz w:val="20"/>
        </w:rPr>
        <w:t>Buon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Ho Town, </w:t>
      </w:r>
      <w:proofErr w:type="spellStart"/>
      <w:proofErr w:type="gramStart"/>
      <w:r w:rsidRPr="00F94671">
        <w:rPr>
          <w:rFonts w:ascii="Arial" w:hAnsi="Arial" w:cs="Arial"/>
          <w:color w:val="010000"/>
          <w:sz w:val="20"/>
        </w:rPr>
        <w:t>Dak</w:t>
      </w:r>
      <w:proofErr w:type="spellEnd"/>
      <w:proofErr w:type="gramEnd"/>
      <w:r w:rsidRPr="00F9467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94671">
        <w:rPr>
          <w:rFonts w:ascii="Arial" w:hAnsi="Arial" w:cs="Arial"/>
          <w:color w:val="010000"/>
          <w:sz w:val="20"/>
        </w:rPr>
        <w:t>Lak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Province.</w:t>
      </w:r>
    </w:p>
    <w:p w14:paraId="00000015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Agree to hire a specialized consulting unit to make adjustments to the project of fruit tree growing applying high technology in Cu Bao Commune, </w:t>
      </w:r>
      <w:proofErr w:type="spellStart"/>
      <w:r w:rsidRPr="00F94671">
        <w:rPr>
          <w:rFonts w:ascii="Arial" w:hAnsi="Arial" w:cs="Arial"/>
          <w:color w:val="010000"/>
          <w:sz w:val="20"/>
        </w:rPr>
        <w:t>Buon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Ho Town, </w:t>
      </w:r>
      <w:proofErr w:type="spellStart"/>
      <w:r w:rsidRPr="00F94671">
        <w:rPr>
          <w:rFonts w:ascii="Arial" w:hAnsi="Arial" w:cs="Arial"/>
          <w:color w:val="010000"/>
          <w:sz w:val="20"/>
        </w:rPr>
        <w:t>Dak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94671">
        <w:rPr>
          <w:rFonts w:ascii="Arial" w:hAnsi="Arial" w:cs="Arial"/>
          <w:color w:val="010000"/>
          <w:sz w:val="20"/>
        </w:rPr>
        <w:t>Lak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Province of </w:t>
      </w:r>
      <w:proofErr w:type="spellStart"/>
      <w:r w:rsidRPr="00F94671">
        <w:rPr>
          <w:rFonts w:ascii="Arial" w:hAnsi="Arial" w:cs="Arial"/>
          <w:color w:val="010000"/>
          <w:sz w:val="20"/>
        </w:rPr>
        <w:t>Dakruco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and 02 projects of 02 cooperation partners (Tuan Hung </w:t>
      </w:r>
      <w:proofErr w:type="spellStart"/>
      <w:r w:rsidRPr="00F94671">
        <w:rPr>
          <w:rFonts w:ascii="Arial" w:hAnsi="Arial" w:cs="Arial"/>
          <w:color w:val="010000"/>
          <w:sz w:val="20"/>
        </w:rPr>
        <w:t>Tay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Nguyen Co., Ltd. and </w:t>
      </w:r>
      <w:proofErr w:type="spellStart"/>
      <w:r w:rsidRPr="00F94671">
        <w:rPr>
          <w:rFonts w:ascii="Arial" w:hAnsi="Arial" w:cs="Arial"/>
          <w:color w:val="010000"/>
          <w:sz w:val="20"/>
        </w:rPr>
        <w:t>Nhat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Thong Agriculture </w:t>
      </w:r>
      <w:r w:rsidRPr="00F94671">
        <w:rPr>
          <w:rFonts w:ascii="Arial" w:hAnsi="Arial" w:cs="Arial"/>
          <w:color w:val="010000"/>
          <w:sz w:val="20"/>
        </w:rPr>
        <w:lastRenderedPageBreak/>
        <w:t xml:space="preserve">Company Limited); and apply for approval of project investment from the People's Committee of </w:t>
      </w:r>
      <w:proofErr w:type="spellStart"/>
      <w:r w:rsidRPr="00F94671">
        <w:rPr>
          <w:rFonts w:ascii="Arial" w:hAnsi="Arial" w:cs="Arial"/>
          <w:color w:val="010000"/>
          <w:sz w:val="20"/>
        </w:rPr>
        <w:t>Dak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94671">
        <w:rPr>
          <w:rFonts w:ascii="Arial" w:hAnsi="Arial" w:cs="Arial"/>
          <w:color w:val="010000"/>
          <w:sz w:val="20"/>
        </w:rPr>
        <w:t>Lak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Province.</w:t>
      </w:r>
    </w:p>
    <w:p w14:paraId="00000016" w14:textId="77777777" w:rsidR="00A9385C" w:rsidRPr="00F94671" w:rsidRDefault="00F94671" w:rsidP="00F946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>Implementation expense: According to current state regulations, units shall pay their own project costs, specifically as follows:</w:t>
      </w:r>
    </w:p>
    <w:p w14:paraId="00000017" w14:textId="77777777" w:rsidR="00A9385C" w:rsidRPr="00F94671" w:rsidRDefault="00F94671" w:rsidP="00F946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Consulting costs for </w:t>
      </w:r>
      <w:proofErr w:type="spellStart"/>
      <w:r w:rsidRPr="00F94671">
        <w:rPr>
          <w:rFonts w:ascii="Arial" w:hAnsi="Arial" w:cs="Arial"/>
          <w:color w:val="010000"/>
          <w:sz w:val="20"/>
        </w:rPr>
        <w:t>Dakruco's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project of fruit tree growing applying high technology are paid by </w:t>
      </w:r>
      <w:proofErr w:type="spellStart"/>
      <w:r w:rsidRPr="00F94671">
        <w:rPr>
          <w:rFonts w:ascii="Arial" w:hAnsi="Arial" w:cs="Arial"/>
          <w:color w:val="010000"/>
          <w:sz w:val="20"/>
        </w:rPr>
        <w:t>Dakruco</w:t>
      </w:r>
      <w:proofErr w:type="spellEnd"/>
      <w:r w:rsidRPr="00F94671">
        <w:rPr>
          <w:rFonts w:ascii="Arial" w:hAnsi="Arial" w:cs="Arial"/>
          <w:color w:val="010000"/>
          <w:sz w:val="20"/>
        </w:rPr>
        <w:t>.</w:t>
      </w:r>
    </w:p>
    <w:p w14:paraId="00000018" w14:textId="77777777" w:rsidR="00A9385C" w:rsidRPr="00F94671" w:rsidRDefault="00F94671" w:rsidP="00F946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Project consulting costs of Tuan Hung </w:t>
      </w:r>
      <w:proofErr w:type="spellStart"/>
      <w:r w:rsidRPr="00F94671">
        <w:rPr>
          <w:rFonts w:ascii="Arial" w:hAnsi="Arial" w:cs="Arial"/>
          <w:color w:val="010000"/>
          <w:sz w:val="20"/>
        </w:rPr>
        <w:t>Tay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Nguyen Co., Ltd. and </w:t>
      </w:r>
      <w:proofErr w:type="spellStart"/>
      <w:r w:rsidRPr="00F94671">
        <w:rPr>
          <w:rFonts w:ascii="Arial" w:hAnsi="Arial" w:cs="Arial"/>
          <w:color w:val="010000"/>
          <w:sz w:val="20"/>
        </w:rPr>
        <w:t>Nhat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Thong Agriculture Company Limited are paid by these partners themselves.</w:t>
      </w:r>
    </w:p>
    <w:p w14:paraId="00000019" w14:textId="77777777" w:rsidR="00A9385C" w:rsidRPr="00F94671" w:rsidRDefault="00F94671" w:rsidP="00F9467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4671">
        <w:rPr>
          <w:rFonts w:ascii="Arial" w:hAnsi="Arial" w:cs="Arial"/>
          <w:color w:val="010000"/>
          <w:sz w:val="20"/>
        </w:rPr>
        <w:t xml:space="preserve">Article 4: This Resolution takes effect from the date of its signing. Members of the Board of Directors, the General Manager of </w:t>
      </w:r>
      <w:proofErr w:type="spellStart"/>
      <w:r w:rsidRPr="00F94671">
        <w:rPr>
          <w:rFonts w:ascii="Arial" w:hAnsi="Arial" w:cs="Arial"/>
          <w:color w:val="010000"/>
          <w:sz w:val="20"/>
        </w:rPr>
        <w:t>DakLak</w:t>
      </w:r>
      <w:proofErr w:type="spellEnd"/>
      <w:r w:rsidRPr="00F94671">
        <w:rPr>
          <w:rFonts w:ascii="Arial" w:hAnsi="Arial" w:cs="Arial"/>
          <w:color w:val="010000"/>
          <w:sz w:val="20"/>
        </w:rPr>
        <w:t xml:space="preserve"> Rubber Joint Stock Company are responsible for the implementation of this Resolution.</w:t>
      </w:r>
    </w:p>
    <w:sectPr w:rsidR="00A9385C" w:rsidRPr="00F94671" w:rsidSect="00F9467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5102"/>
    <w:multiLevelType w:val="multilevel"/>
    <w:tmpl w:val="EC46C650"/>
    <w:lvl w:ilvl="0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EC6B30"/>
    <w:multiLevelType w:val="multilevel"/>
    <w:tmpl w:val="BE3CB7E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4E4897"/>
    <w:multiLevelType w:val="multilevel"/>
    <w:tmpl w:val="32D8DCE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05F18"/>
    <w:multiLevelType w:val="multilevel"/>
    <w:tmpl w:val="7DC2224A"/>
    <w:lvl w:ilvl="0">
      <w:start w:val="1"/>
      <w:numFmt w:val="bullet"/>
      <w:lvlText w:val="+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Courier New" w:hAnsi="Arial" w:cs="Arial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Noto Sans Symbols" w:hAnsi="Arial" w:cs="Arial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BA3B75"/>
    <w:multiLevelType w:val="multilevel"/>
    <w:tmpl w:val="8DB4A032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0356"/>
    <w:multiLevelType w:val="multilevel"/>
    <w:tmpl w:val="0066A8AC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Arial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Arial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5C"/>
    <w:rsid w:val="00385340"/>
    <w:rsid w:val="00A9385C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7E21BB-E953-4F6A-B0D1-2FD557A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25755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25755"/>
      <w:sz w:val="13"/>
      <w:szCs w:val="13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252" w:lineRule="auto"/>
      <w:ind w:firstLine="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E25755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E25755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50bD1YKZ7EGWQDcfxWnYMxLSg==">CgMxLjA4AHIhMWpZSGpFT0hBc0lNaHI1eUp5cmNrZVR3NTNiUDB1TWpo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2024-01-30T04:28:00Z</dcterms:created>
  <dcterms:modified xsi:type="dcterms:W3CDTF">2024-01-30T04:28:00Z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02d6d24a5b16b44298f020f5f2699f766053d61711fd6c2f382faa4eb0dc158e</vt:lpwstr>
  </property>
</Properties>
</file>