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40E73" w14:textId="003B2973" w:rsidR="001F2289" w:rsidRPr="00126AAF" w:rsidRDefault="00EB1D42" w:rsidP="00126AAF">
      <w:pPr>
        <w:pStyle w:val="BodyText"/>
        <w:spacing w:after="120" w:line="360" w:lineRule="auto"/>
        <w:rPr>
          <w:rFonts w:ascii="Arial" w:hAnsi="Arial" w:cs="Arial"/>
          <w:b/>
          <w:bCs/>
          <w:color w:val="010000"/>
          <w:sz w:val="20"/>
          <w:szCs w:val="24"/>
        </w:rPr>
      </w:pPr>
      <w:r w:rsidRPr="00126AAF">
        <w:rPr>
          <w:rFonts w:ascii="Arial" w:hAnsi="Arial" w:cs="Arial"/>
          <w:b/>
          <w:color w:val="010000"/>
          <w:sz w:val="20"/>
        </w:rPr>
        <w:t>SHN: Periodic information disclosure on the status of using the capital from bond issuance</w:t>
      </w:r>
    </w:p>
    <w:p w14:paraId="1D0619AC" w14:textId="4D460A6B" w:rsidR="00EB1D42" w:rsidRPr="00126AAF" w:rsidRDefault="00EB1D42" w:rsidP="00126AAF">
      <w:pPr>
        <w:pStyle w:val="BodyText"/>
        <w:spacing w:after="120" w:line="360" w:lineRule="auto"/>
        <w:rPr>
          <w:rFonts w:ascii="Arial" w:hAnsi="Arial" w:cs="Arial"/>
          <w:bCs/>
          <w:color w:val="010000"/>
          <w:sz w:val="20"/>
          <w:szCs w:val="24"/>
        </w:rPr>
      </w:pPr>
      <w:r w:rsidRPr="00126AAF">
        <w:rPr>
          <w:rFonts w:ascii="Arial" w:hAnsi="Arial" w:cs="Arial"/>
          <w:color w:val="010000"/>
          <w:sz w:val="20"/>
        </w:rPr>
        <w:t>On January 23, 2024, Hanoi Investment General Corporation announced Official Dispatch No. 02/BC-SHN/2024 on the periodic information disclosure on the status of using the capital from bond issuance as follows:</w:t>
      </w:r>
    </w:p>
    <w:p w14:paraId="7E1AED0A" w14:textId="43090857" w:rsidR="0021633F" w:rsidRPr="00126AAF" w:rsidRDefault="007B18A8" w:rsidP="00126AAF">
      <w:pPr>
        <w:pStyle w:val="Heading10"/>
        <w:keepNext/>
        <w:numPr>
          <w:ilvl w:val="0"/>
          <w:numId w:val="1"/>
        </w:numPr>
        <w:tabs>
          <w:tab w:val="left" w:pos="562"/>
        </w:tabs>
        <w:spacing w:after="120" w:line="360" w:lineRule="auto"/>
        <w:jc w:val="left"/>
        <w:outlineLvl w:val="9"/>
        <w:rPr>
          <w:rFonts w:ascii="Arial" w:hAnsi="Arial" w:cs="Arial"/>
          <w:b w:val="0"/>
          <w:color w:val="010000"/>
          <w:sz w:val="20"/>
        </w:rPr>
      </w:pPr>
      <w:r w:rsidRPr="00126AAF">
        <w:rPr>
          <w:rFonts w:ascii="Arial" w:hAnsi="Arial" w:cs="Arial"/>
          <w:b w:val="0"/>
          <w:color w:val="010000"/>
          <w:sz w:val="20"/>
        </w:rPr>
        <w:t>The purpose of using capital according to the Issuance Plan</w:t>
      </w:r>
    </w:p>
    <w:p w14:paraId="6A049024" w14:textId="3E26C777" w:rsidR="0021633F" w:rsidRPr="00126AAF" w:rsidRDefault="007B18A8" w:rsidP="00126AAF">
      <w:pPr>
        <w:pStyle w:val="BodyText"/>
        <w:spacing w:after="120" w:line="360" w:lineRule="auto"/>
        <w:rPr>
          <w:rFonts w:ascii="Arial" w:hAnsi="Arial" w:cs="Arial"/>
          <w:color w:val="010000"/>
          <w:sz w:val="20"/>
        </w:rPr>
      </w:pPr>
      <w:r w:rsidRPr="00126AAF">
        <w:rPr>
          <w:rFonts w:ascii="Arial" w:hAnsi="Arial" w:cs="Arial"/>
          <w:color w:val="010000"/>
          <w:sz w:val="20"/>
        </w:rPr>
        <w:t>Pursuant to the bond issuance plan approved in Resolution No. 18/2020/NQ-HDQT dated November 30, 2020 of the Board of Directors of Hanoi Investment General Corporation on approving the issuance of privately placed bonds in 2020, the total mobilized amount from the bond issuance (at par value) is as follows:</w:t>
      </w:r>
    </w:p>
    <w:p w14:paraId="6D33C7BD" w14:textId="04C61964"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Bond name: Bond of Hanoi Investment General Corporation in 2020</w:t>
      </w:r>
    </w:p>
    <w:p w14:paraId="66217D31" w14:textId="3EC8C002"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Bond code: SHN.H.20.23.001</w:t>
      </w:r>
    </w:p>
    <w:p w14:paraId="731A5BF9" w14:textId="4DA9A390"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Name of issuer: Hanoi Investment General Corporation</w:t>
      </w:r>
    </w:p>
    <w:p w14:paraId="0DEC6673" w14:textId="7FF4B4BC"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Bond type: Non-convertible bond, without warrant, without collateral</w:t>
      </w:r>
    </w:p>
    <w:p w14:paraId="78F3E9B8" w14:textId="69C67FF0"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Issuance method: Private placement</w:t>
      </w:r>
    </w:p>
    <w:p w14:paraId="762CAC0E" w14:textId="7F270CE6"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 xml:space="preserve">Par value: VND 1,000,000,000/bond </w:t>
      </w:r>
    </w:p>
    <w:p w14:paraId="1BE1342E" w14:textId="1826D748"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 xml:space="preserve">Volume of bonds issued: 200 bonds </w:t>
      </w:r>
    </w:p>
    <w:p w14:paraId="02BAD518" w14:textId="251DA539"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 xml:space="preserve">Total issue value: VND 200,000,000,000 </w:t>
      </w:r>
    </w:p>
    <w:p w14:paraId="0E6C29F3" w14:textId="7D583ACB"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Bond terms: 03 years</w:t>
      </w:r>
    </w:p>
    <w:p w14:paraId="76B3EC2B" w14:textId="3CD47BB3"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Date of issuance: December 04, 2020</w:t>
      </w:r>
    </w:p>
    <w:p w14:paraId="124F23C7" w14:textId="3E9A68E8"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Term: 03 years</w:t>
      </w:r>
    </w:p>
    <w:p w14:paraId="59365063" w14:textId="44B74ED1"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Bond interest: 8.5% per year.</w:t>
      </w:r>
    </w:p>
    <w:p w14:paraId="069106FF" w14:textId="41047DB2"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Interest calculation period:</w:t>
      </w:r>
      <w:r w:rsidR="00126AAF" w:rsidRPr="00126AAF">
        <w:rPr>
          <w:rFonts w:ascii="Arial" w:hAnsi="Arial" w:cs="Arial"/>
          <w:color w:val="010000"/>
          <w:sz w:val="20"/>
        </w:rPr>
        <w:t xml:space="preserve"> every</w:t>
      </w:r>
      <w:r w:rsidRPr="00126AAF">
        <w:rPr>
          <w:rFonts w:ascii="Arial" w:hAnsi="Arial" w:cs="Arial"/>
          <w:color w:val="010000"/>
          <w:sz w:val="20"/>
        </w:rPr>
        <w:t xml:space="preserve"> 01 year, starting from the Transaction Date and ending on (but not including) the Maturity Date.</w:t>
      </w:r>
    </w:p>
    <w:p w14:paraId="583EB6D5" w14:textId="0A8C58BF" w:rsidR="001F2289"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Interest payment period: Once per year</w:t>
      </w:r>
    </w:p>
    <w:p w14:paraId="5C207BD2" w14:textId="4ECBF8B8" w:rsidR="00EB1D42" w:rsidRPr="00126AAF" w:rsidRDefault="001F2289" w:rsidP="00126AAF">
      <w:pPr>
        <w:widowControl/>
        <w:spacing w:after="120" w:line="360" w:lineRule="auto"/>
        <w:rPr>
          <w:rFonts w:ascii="Arial" w:eastAsia="Times New Roman" w:hAnsi="Arial" w:cs="Arial"/>
          <w:color w:val="010000"/>
          <w:sz w:val="20"/>
        </w:rPr>
      </w:pPr>
      <w:r w:rsidRPr="00126AAF">
        <w:rPr>
          <w:rFonts w:ascii="Arial" w:hAnsi="Arial" w:cs="Arial"/>
          <w:color w:val="010000"/>
          <w:sz w:val="20"/>
        </w:rPr>
        <w:t xml:space="preserve">Issuance purposes: Increase the scale of the Company's business capital. The money will be used to supplement capital for </w:t>
      </w:r>
      <w:r w:rsidR="00540E11">
        <w:rPr>
          <w:rFonts w:ascii="Arial" w:hAnsi="Arial" w:cs="Arial"/>
          <w:color w:val="010000"/>
          <w:sz w:val="20"/>
        </w:rPr>
        <w:t xml:space="preserve">the </w:t>
      </w:r>
      <w:r w:rsidRPr="00126AAF">
        <w:rPr>
          <w:rFonts w:ascii="Arial" w:hAnsi="Arial" w:cs="Arial"/>
          <w:color w:val="010000"/>
          <w:sz w:val="20"/>
        </w:rPr>
        <w:t>production and commercial activities of coal.</w:t>
      </w:r>
    </w:p>
    <w:p w14:paraId="1819FE75" w14:textId="7D38990E" w:rsidR="0021633F" w:rsidRPr="00126AAF" w:rsidRDefault="007B18A8" w:rsidP="00126AAF">
      <w:pPr>
        <w:pStyle w:val="Heading10"/>
        <w:keepNext/>
        <w:numPr>
          <w:ilvl w:val="0"/>
          <w:numId w:val="1"/>
        </w:numPr>
        <w:tabs>
          <w:tab w:val="left" w:pos="562"/>
        </w:tabs>
        <w:spacing w:after="120" w:line="360" w:lineRule="auto"/>
        <w:jc w:val="left"/>
        <w:outlineLvl w:val="9"/>
        <w:rPr>
          <w:rFonts w:ascii="Arial" w:hAnsi="Arial" w:cs="Arial"/>
          <w:b w:val="0"/>
          <w:color w:val="010000"/>
          <w:sz w:val="20"/>
        </w:rPr>
      </w:pPr>
      <w:r w:rsidRPr="00126AAF">
        <w:rPr>
          <w:rFonts w:ascii="Arial" w:hAnsi="Arial" w:cs="Arial"/>
          <w:b w:val="0"/>
          <w:color w:val="010000"/>
          <w:sz w:val="20"/>
        </w:rPr>
        <w:t>Capital use and disbursement schedule:</w:t>
      </w:r>
    </w:p>
    <w:p w14:paraId="38439157" w14:textId="62B964B0" w:rsidR="0021633F" w:rsidRPr="00126AAF" w:rsidRDefault="007B18A8" w:rsidP="00126AAF">
      <w:pPr>
        <w:pStyle w:val="BodyText"/>
        <w:spacing w:after="120" w:line="360" w:lineRule="auto"/>
        <w:rPr>
          <w:rFonts w:ascii="Arial" w:hAnsi="Arial" w:cs="Arial"/>
          <w:color w:val="010000"/>
          <w:sz w:val="20"/>
        </w:rPr>
      </w:pPr>
      <w:r w:rsidRPr="00126AAF">
        <w:rPr>
          <w:rFonts w:ascii="Arial" w:hAnsi="Arial" w:cs="Arial"/>
          <w:color w:val="010000"/>
          <w:sz w:val="20"/>
        </w:rPr>
        <w:t>The Company has used the proceeds from the offering to increase capital for coal business activities of the Company. The proceeds have been used to supplement capital for production and commercial activities of coal, and other contents in accordance with the provisions of the Law.</w:t>
      </w:r>
    </w:p>
    <w:p w14:paraId="132B9159" w14:textId="06E50A3A" w:rsidR="0021633F" w:rsidRPr="00126AAF" w:rsidRDefault="00EB1D42" w:rsidP="00126AAF">
      <w:pPr>
        <w:pStyle w:val="Tablecaption0"/>
        <w:spacing w:after="120" w:line="360" w:lineRule="auto"/>
        <w:ind w:firstLine="0"/>
        <w:rPr>
          <w:rFonts w:ascii="Arial" w:hAnsi="Arial" w:cs="Arial"/>
          <w:color w:val="010000"/>
          <w:sz w:val="20"/>
        </w:rPr>
      </w:pPr>
      <w:r w:rsidRPr="00126AAF">
        <w:rPr>
          <w:rFonts w:ascii="Arial" w:hAnsi="Arial" w:cs="Arial"/>
          <w:color w:val="010000"/>
          <w:sz w:val="20"/>
        </w:rPr>
        <w:t>The actual capital use of the Company until December 31, 2023 is as follows: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7"/>
        <w:gridCol w:w="4061"/>
        <w:gridCol w:w="2270"/>
        <w:gridCol w:w="2289"/>
      </w:tblGrid>
      <w:tr w:rsidR="0021633F" w:rsidRPr="00126AAF" w14:paraId="1F0B896C" w14:textId="77777777" w:rsidTr="00126AAF">
        <w:tc>
          <w:tcPr>
            <w:tcW w:w="220" w:type="pct"/>
            <w:shd w:val="clear" w:color="auto" w:fill="auto"/>
            <w:vAlign w:val="center"/>
          </w:tcPr>
          <w:p w14:paraId="0973B58A" w14:textId="77777777" w:rsidR="0021633F" w:rsidRPr="00126AAF" w:rsidRDefault="0021633F" w:rsidP="00126AAF">
            <w:pPr>
              <w:spacing w:after="120" w:line="360" w:lineRule="auto"/>
              <w:rPr>
                <w:rFonts w:ascii="Arial" w:hAnsi="Arial" w:cs="Arial"/>
                <w:color w:val="010000"/>
                <w:sz w:val="20"/>
                <w:szCs w:val="10"/>
              </w:rPr>
            </w:pPr>
          </w:p>
        </w:tc>
        <w:tc>
          <w:tcPr>
            <w:tcW w:w="2252" w:type="pct"/>
            <w:shd w:val="clear" w:color="auto" w:fill="auto"/>
            <w:vAlign w:val="center"/>
          </w:tcPr>
          <w:p w14:paraId="37081712" w14:textId="764CB189" w:rsidR="0021633F" w:rsidRPr="00126AAF" w:rsidRDefault="00540E11" w:rsidP="00126AAF">
            <w:pPr>
              <w:pStyle w:val="Other0"/>
              <w:spacing w:after="120" w:line="360" w:lineRule="auto"/>
              <w:ind w:firstLine="0"/>
              <w:jc w:val="center"/>
              <w:rPr>
                <w:rFonts w:ascii="Arial" w:hAnsi="Arial" w:cs="Arial"/>
                <w:color w:val="010000"/>
                <w:sz w:val="20"/>
                <w:szCs w:val="24"/>
              </w:rPr>
            </w:pPr>
            <w:bookmarkStart w:id="0" w:name="_GoBack"/>
            <w:bookmarkEnd w:id="0"/>
            <w:r>
              <w:rPr>
                <w:rFonts w:ascii="Arial" w:hAnsi="Arial" w:cs="Arial"/>
                <w:color w:val="010000"/>
                <w:sz w:val="20"/>
              </w:rPr>
              <w:t>Use purpose</w:t>
            </w:r>
          </w:p>
        </w:tc>
        <w:tc>
          <w:tcPr>
            <w:tcW w:w="1259" w:type="pct"/>
            <w:shd w:val="clear" w:color="auto" w:fill="auto"/>
            <w:vAlign w:val="center"/>
          </w:tcPr>
          <w:p w14:paraId="4C69E042" w14:textId="77777777" w:rsidR="0021633F" w:rsidRPr="00126AAF" w:rsidRDefault="007B18A8" w:rsidP="00126AAF">
            <w:pPr>
              <w:pStyle w:val="Other0"/>
              <w:spacing w:after="120" w:line="360" w:lineRule="auto"/>
              <w:ind w:firstLine="0"/>
              <w:jc w:val="center"/>
              <w:rPr>
                <w:rFonts w:ascii="Arial" w:hAnsi="Arial" w:cs="Arial"/>
                <w:color w:val="010000"/>
                <w:sz w:val="20"/>
                <w:szCs w:val="24"/>
              </w:rPr>
            </w:pPr>
            <w:r w:rsidRPr="00126AAF">
              <w:rPr>
                <w:rFonts w:ascii="Arial" w:hAnsi="Arial" w:cs="Arial"/>
                <w:color w:val="010000"/>
                <w:sz w:val="20"/>
              </w:rPr>
              <w:t>Plan</w:t>
            </w:r>
          </w:p>
        </w:tc>
        <w:tc>
          <w:tcPr>
            <w:tcW w:w="1269" w:type="pct"/>
            <w:shd w:val="clear" w:color="auto" w:fill="auto"/>
            <w:vAlign w:val="center"/>
          </w:tcPr>
          <w:p w14:paraId="14CD3233" w14:textId="79AC7A20" w:rsidR="0021633F" w:rsidRPr="00126AAF" w:rsidRDefault="00EB1D42" w:rsidP="00126AAF">
            <w:pPr>
              <w:pStyle w:val="Other0"/>
              <w:spacing w:after="120" w:line="360" w:lineRule="auto"/>
              <w:ind w:firstLine="0"/>
              <w:jc w:val="center"/>
              <w:rPr>
                <w:rFonts w:ascii="Arial" w:hAnsi="Arial" w:cs="Arial"/>
                <w:color w:val="010000"/>
                <w:sz w:val="20"/>
                <w:szCs w:val="24"/>
              </w:rPr>
            </w:pPr>
            <w:r w:rsidRPr="00126AAF">
              <w:rPr>
                <w:rFonts w:ascii="Arial" w:hAnsi="Arial" w:cs="Arial"/>
                <w:color w:val="010000"/>
                <w:sz w:val="20"/>
              </w:rPr>
              <w:t>Used</w:t>
            </w:r>
          </w:p>
        </w:tc>
      </w:tr>
      <w:tr w:rsidR="0021633F" w:rsidRPr="00126AAF" w14:paraId="2BB5EBAB" w14:textId="77777777" w:rsidTr="00126AAF">
        <w:tc>
          <w:tcPr>
            <w:tcW w:w="220" w:type="pct"/>
            <w:shd w:val="clear" w:color="auto" w:fill="auto"/>
            <w:vAlign w:val="center"/>
          </w:tcPr>
          <w:p w14:paraId="18A3C53C" w14:textId="77777777" w:rsidR="0021633F" w:rsidRPr="00126AAF" w:rsidRDefault="007B18A8" w:rsidP="00126AAF">
            <w:pPr>
              <w:pStyle w:val="Other0"/>
              <w:spacing w:after="120" w:line="360" w:lineRule="auto"/>
              <w:ind w:firstLine="0"/>
              <w:rPr>
                <w:rFonts w:ascii="Arial" w:hAnsi="Arial" w:cs="Arial"/>
                <w:color w:val="010000"/>
                <w:sz w:val="20"/>
                <w:szCs w:val="24"/>
              </w:rPr>
            </w:pPr>
            <w:r w:rsidRPr="00126AAF">
              <w:rPr>
                <w:rFonts w:ascii="Arial" w:hAnsi="Arial" w:cs="Arial"/>
                <w:color w:val="010000"/>
                <w:sz w:val="20"/>
              </w:rPr>
              <w:lastRenderedPageBreak/>
              <w:t>1</w:t>
            </w:r>
          </w:p>
        </w:tc>
        <w:tc>
          <w:tcPr>
            <w:tcW w:w="2252" w:type="pct"/>
            <w:shd w:val="clear" w:color="auto" w:fill="auto"/>
            <w:vAlign w:val="center"/>
          </w:tcPr>
          <w:p w14:paraId="5DD24FD5" w14:textId="77777777" w:rsidR="0021633F" w:rsidRPr="00126AAF" w:rsidRDefault="007B18A8" w:rsidP="00126AAF">
            <w:pPr>
              <w:pStyle w:val="Other0"/>
              <w:spacing w:after="120" w:line="360" w:lineRule="auto"/>
              <w:ind w:firstLine="0"/>
              <w:rPr>
                <w:rFonts w:ascii="Arial" w:hAnsi="Arial" w:cs="Arial"/>
                <w:color w:val="010000"/>
                <w:sz w:val="20"/>
                <w:szCs w:val="24"/>
              </w:rPr>
            </w:pPr>
            <w:r w:rsidRPr="00126AAF">
              <w:rPr>
                <w:rFonts w:ascii="Arial" w:hAnsi="Arial" w:cs="Arial"/>
                <w:color w:val="010000"/>
                <w:sz w:val="20"/>
              </w:rPr>
              <w:t>Total proceeds from the issuance</w:t>
            </w:r>
          </w:p>
        </w:tc>
        <w:tc>
          <w:tcPr>
            <w:tcW w:w="1259" w:type="pct"/>
            <w:shd w:val="clear" w:color="auto" w:fill="auto"/>
            <w:vAlign w:val="center"/>
          </w:tcPr>
          <w:p w14:paraId="684D91B1" w14:textId="77777777" w:rsidR="0021633F" w:rsidRPr="00126AAF" w:rsidRDefault="007B18A8" w:rsidP="00126AAF">
            <w:pPr>
              <w:pStyle w:val="Other0"/>
              <w:spacing w:after="120" w:line="360" w:lineRule="auto"/>
              <w:ind w:firstLine="0"/>
              <w:rPr>
                <w:rFonts w:ascii="Arial" w:hAnsi="Arial" w:cs="Arial"/>
                <w:color w:val="010000"/>
                <w:sz w:val="20"/>
                <w:szCs w:val="24"/>
              </w:rPr>
            </w:pPr>
            <w:r w:rsidRPr="00126AAF">
              <w:rPr>
                <w:rFonts w:ascii="Arial" w:hAnsi="Arial" w:cs="Arial"/>
                <w:color w:val="010000"/>
                <w:sz w:val="20"/>
              </w:rPr>
              <w:t>200,000,000,000</w:t>
            </w:r>
          </w:p>
        </w:tc>
        <w:tc>
          <w:tcPr>
            <w:tcW w:w="1269" w:type="pct"/>
            <w:shd w:val="clear" w:color="auto" w:fill="auto"/>
            <w:vAlign w:val="center"/>
          </w:tcPr>
          <w:p w14:paraId="02DB220D" w14:textId="77777777" w:rsidR="0021633F" w:rsidRPr="00126AAF" w:rsidRDefault="007B18A8" w:rsidP="00126AAF">
            <w:pPr>
              <w:pStyle w:val="Other0"/>
              <w:spacing w:after="120" w:line="360" w:lineRule="auto"/>
              <w:ind w:firstLine="0"/>
              <w:rPr>
                <w:rFonts w:ascii="Arial" w:hAnsi="Arial" w:cs="Arial"/>
                <w:color w:val="010000"/>
                <w:sz w:val="20"/>
                <w:szCs w:val="24"/>
              </w:rPr>
            </w:pPr>
            <w:r w:rsidRPr="00126AAF">
              <w:rPr>
                <w:rFonts w:ascii="Arial" w:hAnsi="Arial" w:cs="Arial"/>
                <w:color w:val="010000"/>
                <w:sz w:val="20"/>
              </w:rPr>
              <w:t>200,000,000,000</w:t>
            </w:r>
          </w:p>
        </w:tc>
      </w:tr>
      <w:tr w:rsidR="0021633F" w:rsidRPr="00126AAF" w14:paraId="6646FDE2" w14:textId="77777777" w:rsidTr="00126AAF">
        <w:tc>
          <w:tcPr>
            <w:tcW w:w="220" w:type="pct"/>
            <w:shd w:val="clear" w:color="auto" w:fill="auto"/>
            <w:vAlign w:val="center"/>
          </w:tcPr>
          <w:p w14:paraId="7D1ED9A2" w14:textId="77777777" w:rsidR="0021633F" w:rsidRPr="00126AAF" w:rsidRDefault="007B18A8" w:rsidP="00126AAF">
            <w:pPr>
              <w:pStyle w:val="Other0"/>
              <w:spacing w:after="120" w:line="360" w:lineRule="auto"/>
              <w:ind w:firstLine="0"/>
              <w:rPr>
                <w:rFonts w:ascii="Arial" w:hAnsi="Arial" w:cs="Arial"/>
                <w:color w:val="010000"/>
                <w:sz w:val="20"/>
              </w:rPr>
            </w:pPr>
            <w:r w:rsidRPr="00126AAF">
              <w:rPr>
                <w:rFonts w:ascii="Arial" w:hAnsi="Arial" w:cs="Arial"/>
                <w:color w:val="010000"/>
                <w:sz w:val="20"/>
              </w:rPr>
              <w:t>2</w:t>
            </w:r>
          </w:p>
        </w:tc>
        <w:tc>
          <w:tcPr>
            <w:tcW w:w="2252" w:type="pct"/>
            <w:shd w:val="clear" w:color="auto" w:fill="auto"/>
            <w:vAlign w:val="center"/>
          </w:tcPr>
          <w:p w14:paraId="23901CE1" w14:textId="0C66E6B9" w:rsidR="0021633F" w:rsidRPr="00126AAF" w:rsidRDefault="007B18A8" w:rsidP="00126AAF">
            <w:pPr>
              <w:pStyle w:val="Other0"/>
              <w:spacing w:after="120" w:line="360" w:lineRule="auto"/>
              <w:ind w:firstLine="0"/>
              <w:rPr>
                <w:rFonts w:ascii="Arial" w:hAnsi="Arial" w:cs="Arial"/>
                <w:color w:val="010000"/>
                <w:sz w:val="20"/>
              </w:rPr>
            </w:pPr>
            <w:r w:rsidRPr="00126AAF">
              <w:rPr>
                <w:rFonts w:ascii="Arial" w:hAnsi="Arial" w:cs="Arial"/>
                <w:color w:val="010000"/>
                <w:sz w:val="20"/>
              </w:rPr>
              <w:t>Used for coal production and business activities</w:t>
            </w:r>
          </w:p>
        </w:tc>
        <w:tc>
          <w:tcPr>
            <w:tcW w:w="1259" w:type="pct"/>
            <w:shd w:val="clear" w:color="auto" w:fill="auto"/>
            <w:vAlign w:val="center"/>
          </w:tcPr>
          <w:p w14:paraId="6AB0B57C" w14:textId="77777777" w:rsidR="0021633F" w:rsidRPr="00126AAF" w:rsidRDefault="007B18A8" w:rsidP="00126AAF">
            <w:pPr>
              <w:pStyle w:val="Other0"/>
              <w:spacing w:after="120" w:line="360" w:lineRule="auto"/>
              <w:ind w:firstLine="0"/>
              <w:rPr>
                <w:rFonts w:ascii="Arial" w:hAnsi="Arial" w:cs="Arial"/>
                <w:color w:val="010000"/>
                <w:sz w:val="20"/>
              </w:rPr>
            </w:pPr>
            <w:r w:rsidRPr="00126AAF">
              <w:rPr>
                <w:rFonts w:ascii="Arial" w:hAnsi="Arial" w:cs="Arial"/>
                <w:color w:val="010000"/>
                <w:sz w:val="20"/>
              </w:rPr>
              <w:t>200,000,000,000</w:t>
            </w:r>
          </w:p>
        </w:tc>
        <w:tc>
          <w:tcPr>
            <w:tcW w:w="1269" w:type="pct"/>
            <w:shd w:val="clear" w:color="auto" w:fill="auto"/>
            <w:vAlign w:val="center"/>
          </w:tcPr>
          <w:p w14:paraId="182F3668" w14:textId="77777777" w:rsidR="0021633F" w:rsidRPr="00126AAF" w:rsidRDefault="007B18A8" w:rsidP="00126AAF">
            <w:pPr>
              <w:pStyle w:val="Other0"/>
              <w:spacing w:after="120" w:line="360" w:lineRule="auto"/>
              <w:ind w:firstLine="0"/>
              <w:rPr>
                <w:rFonts w:ascii="Arial" w:hAnsi="Arial" w:cs="Arial"/>
                <w:color w:val="010000"/>
                <w:sz w:val="20"/>
              </w:rPr>
            </w:pPr>
            <w:r w:rsidRPr="00126AAF">
              <w:rPr>
                <w:rFonts w:ascii="Arial" w:hAnsi="Arial" w:cs="Arial"/>
                <w:color w:val="010000"/>
                <w:sz w:val="20"/>
              </w:rPr>
              <w:t>197,000,000,000</w:t>
            </w:r>
          </w:p>
        </w:tc>
      </w:tr>
      <w:tr w:rsidR="0021633F" w:rsidRPr="00126AAF" w14:paraId="785372D9" w14:textId="77777777" w:rsidTr="00126AAF">
        <w:tc>
          <w:tcPr>
            <w:tcW w:w="220" w:type="pct"/>
            <w:shd w:val="clear" w:color="auto" w:fill="auto"/>
            <w:vAlign w:val="center"/>
          </w:tcPr>
          <w:p w14:paraId="4C86B997" w14:textId="77777777" w:rsidR="0021633F" w:rsidRPr="00126AAF" w:rsidRDefault="007B18A8" w:rsidP="00126AAF">
            <w:pPr>
              <w:pStyle w:val="Other0"/>
              <w:spacing w:after="120" w:line="360" w:lineRule="auto"/>
              <w:ind w:firstLine="0"/>
              <w:rPr>
                <w:rFonts w:ascii="Arial" w:hAnsi="Arial" w:cs="Arial"/>
                <w:color w:val="010000"/>
                <w:sz w:val="20"/>
              </w:rPr>
            </w:pPr>
            <w:r w:rsidRPr="00126AAF">
              <w:rPr>
                <w:rFonts w:ascii="Arial" w:hAnsi="Arial" w:cs="Arial"/>
                <w:color w:val="010000"/>
                <w:sz w:val="20"/>
              </w:rPr>
              <w:t>3</w:t>
            </w:r>
          </w:p>
        </w:tc>
        <w:tc>
          <w:tcPr>
            <w:tcW w:w="2252" w:type="pct"/>
            <w:shd w:val="clear" w:color="auto" w:fill="auto"/>
            <w:vAlign w:val="center"/>
          </w:tcPr>
          <w:p w14:paraId="678AC4AC" w14:textId="77777777" w:rsidR="0021633F" w:rsidRPr="00126AAF" w:rsidRDefault="007B18A8" w:rsidP="00126AAF">
            <w:pPr>
              <w:pStyle w:val="Other0"/>
              <w:spacing w:after="120" w:line="360" w:lineRule="auto"/>
              <w:ind w:firstLine="0"/>
              <w:rPr>
                <w:rFonts w:ascii="Arial" w:hAnsi="Arial" w:cs="Arial"/>
                <w:color w:val="010000"/>
                <w:sz w:val="20"/>
              </w:rPr>
            </w:pPr>
            <w:r w:rsidRPr="00126AAF">
              <w:rPr>
                <w:rFonts w:ascii="Arial" w:hAnsi="Arial" w:cs="Arial"/>
                <w:color w:val="010000"/>
                <w:sz w:val="20"/>
              </w:rPr>
              <w:t>Expense of the issuance</w:t>
            </w:r>
          </w:p>
        </w:tc>
        <w:tc>
          <w:tcPr>
            <w:tcW w:w="1259" w:type="pct"/>
            <w:shd w:val="clear" w:color="auto" w:fill="auto"/>
            <w:vAlign w:val="center"/>
          </w:tcPr>
          <w:p w14:paraId="51A7ED20" w14:textId="77777777" w:rsidR="0021633F" w:rsidRPr="00126AAF" w:rsidRDefault="0021633F" w:rsidP="00126AAF">
            <w:pPr>
              <w:spacing w:after="120" w:line="360" w:lineRule="auto"/>
              <w:rPr>
                <w:rFonts w:ascii="Arial" w:hAnsi="Arial" w:cs="Arial"/>
                <w:color w:val="010000"/>
                <w:sz w:val="20"/>
                <w:szCs w:val="10"/>
              </w:rPr>
            </w:pPr>
          </w:p>
        </w:tc>
        <w:tc>
          <w:tcPr>
            <w:tcW w:w="1269" w:type="pct"/>
            <w:shd w:val="clear" w:color="auto" w:fill="auto"/>
            <w:vAlign w:val="center"/>
          </w:tcPr>
          <w:p w14:paraId="3240BB05" w14:textId="77777777" w:rsidR="0021633F" w:rsidRPr="00126AAF" w:rsidRDefault="007B18A8" w:rsidP="00126AAF">
            <w:pPr>
              <w:pStyle w:val="Other0"/>
              <w:spacing w:after="120" w:line="360" w:lineRule="auto"/>
              <w:ind w:firstLine="0"/>
              <w:rPr>
                <w:rFonts w:ascii="Arial" w:hAnsi="Arial" w:cs="Arial"/>
                <w:color w:val="010000"/>
                <w:sz w:val="20"/>
              </w:rPr>
            </w:pPr>
            <w:r w:rsidRPr="00126AAF">
              <w:rPr>
                <w:rFonts w:ascii="Arial" w:hAnsi="Arial" w:cs="Arial"/>
                <w:color w:val="010000"/>
                <w:sz w:val="20"/>
              </w:rPr>
              <w:t>3,000,000,000</w:t>
            </w:r>
          </w:p>
        </w:tc>
      </w:tr>
      <w:tr w:rsidR="0021633F" w:rsidRPr="00126AAF" w14:paraId="5C4B1AF7" w14:textId="77777777" w:rsidTr="00126AAF">
        <w:tc>
          <w:tcPr>
            <w:tcW w:w="220" w:type="pct"/>
            <w:shd w:val="clear" w:color="auto" w:fill="auto"/>
            <w:vAlign w:val="center"/>
          </w:tcPr>
          <w:p w14:paraId="3469EC57" w14:textId="77777777" w:rsidR="0021633F" w:rsidRPr="00126AAF" w:rsidRDefault="007B18A8" w:rsidP="00126AAF">
            <w:pPr>
              <w:pStyle w:val="Other0"/>
              <w:spacing w:after="120" w:line="360" w:lineRule="auto"/>
              <w:ind w:firstLine="0"/>
              <w:rPr>
                <w:rFonts w:ascii="Arial" w:hAnsi="Arial" w:cs="Arial"/>
                <w:color w:val="010000"/>
                <w:sz w:val="20"/>
                <w:szCs w:val="24"/>
              </w:rPr>
            </w:pPr>
            <w:r w:rsidRPr="00126AAF">
              <w:rPr>
                <w:rFonts w:ascii="Arial" w:hAnsi="Arial" w:cs="Arial"/>
                <w:color w:val="010000"/>
                <w:sz w:val="20"/>
              </w:rPr>
              <w:t>4</w:t>
            </w:r>
          </w:p>
        </w:tc>
        <w:tc>
          <w:tcPr>
            <w:tcW w:w="2252" w:type="pct"/>
            <w:shd w:val="clear" w:color="auto" w:fill="auto"/>
            <w:vAlign w:val="center"/>
          </w:tcPr>
          <w:p w14:paraId="5E9C82AC" w14:textId="6E8C7578" w:rsidR="0021633F" w:rsidRPr="00126AAF" w:rsidRDefault="007B18A8" w:rsidP="00126AAF">
            <w:pPr>
              <w:pStyle w:val="Other0"/>
              <w:spacing w:after="120" w:line="360" w:lineRule="auto"/>
              <w:ind w:firstLine="0"/>
              <w:rPr>
                <w:rFonts w:ascii="Arial" w:hAnsi="Arial" w:cs="Arial"/>
                <w:color w:val="010000"/>
                <w:sz w:val="20"/>
                <w:szCs w:val="24"/>
              </w:rPr>
            </w:pPr>
            <w:r w:rsidRPr="00126AAF">
              <w:rPr>
                <w:rFonts w:ascii="Arial" w:hAnsi="Arial" w:cs="Arial"/>
                <w:color w:val="010000"/>
                <w:sz w:val="20"/>
              </w:rPr>
              <w:t>Unused amount until December 31, 2023</w:t>
            </w:r>
          </w:p>
        </w:tc>
        <w:tc>
          <w:tcPr>
            <w:tcW w:w="1259" w:type="pct"/>
            <w:shd w:val="clear" w:color="auto" w:fill="auto"/>
            <w:vAlign w:val="center"/>
          </w:tcPr>
          <w:p w14:paraId="354DDBBF" w14:textId="77777777" w:rsidR="0021633F" w:rsidRPr="00126AAF" w:rsidRDefault="0021633F" w:rsidP="00126AAF">
            <w:pPr>
              <w:spacing w:after="120" w:line="360" w:lineRule="auto"/>
              <w:rPr>
                <w:rFonts w:ascii="Arial" w:hAnsi="Arial" w:cs="Arial"/>
                <w:color w:val="010000"/>
                <w:sz w:val="20"/>
                <w:szCs w:val="10"/>
              </w:rPr>
            </w:pPr>
          </w:p>
        </w:tc>
        <w:tc>
          <w:tcPr>
            <w:tcW w:w="1269" w:type="pct"/>
            <w:shd w:val="clear" w:color="auto" w:fill="auto"/>
            <w:vAlign w:val="center"/>
          </w:tcPr>
          <w:p w14:paraId="06F4115F" w14:textId="77777777" w:rsidR="0021633F" w:rsidRPr="00126AAF" w:rsidRDefault="007B18A8" w:rsidP="00126AAF">
            <w:pPr>
              <w:pStyle w:val="Other0"/>
              <w:spacing w:after="120" w:line="360" w:lineRule="auto"/>
              <w:ind w:firstLine="0"/>
              <w:rPr>
                <w:rFonts w:ascii="Arial" w:hAnsi="Arial" w:cs="Arial"/>
                <w:color w:val="010000"/>
                <w:sz w:val="20"/>
                <w:szCs w:val="24"/>
              </w:rPr>
            </w:pPr>
            <w:r w:rsidRPr="00126AAF">
              <w:rPr>
                <w:rFonts w:ascii="Arial" w:hAnsi="Arial" w:cs="Arial"/>
                <w:color w:val="010000"/>
                <w:sz w:val="20"/>
              </w:rPr>
              <w:t>-</w:t>
            </w:r>
          </w:p>
        </w:tc>
      </w:tr>
    </w:tbl>
    <w:p w14:paraId="48564B13" w14:textId="515682A2" w:rsidR="0021633F" w:rsidRPr="00126AAF" w:rsidRDefault="00EB1D42" w:rsidP="00126AAF">
      <w:pPr>
        <w:pStyle w:val="Tablecaption0"/>
        <w:spacing w:after="120" w:line="360" w:lineRule="auto"/>
        <w:ind w:firstLine="0"/>
        <w:rPr>
          <w:rFonts w:ascii="Arial" w:hAnsi="Arial" w:cs="Arial"/>
          <w:color w:val="010000"/>
          <w:sz w:val="20"/>
        </w:rPr>
      </w:pPr>
      <w:r w:rsidRPr="00126AAF">
        <w:rPr>
          <w:rFonts w:ascii="Arial" w:hAnsi="Arial" w:cs="Arial"/>
          <w:color w:val="010000"/>
          <w:sz w:val="20"/>
        </w:rPr>
        <w:t>The Company has used up all the proceeds from the issuance as of December 31, 2023.</w:t>
      </w:r>
    </w:p>
    <w:sectPr w:rsidR="0021633F" w:rsidRPr="00126AAF" w:rsidSect="00126AAF">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E9E31" w14:textId="77777777" w:rsidR="00A644C7" w:rsidRDefault="00A644C7">
      <w:r>
        <w:separator/>
      </w:r>
    </w:p>
  </w:endnote>
  <w:endnote w:type="continuationSeparator" w:id="0">
    <w:p w14:paraId="69FC4FA7" w14:textId="77777777" w:rsidR="00A644C7" w:rsidRDefault="00A6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B2AA" w14:textId="77777777" w:rsidR="00A644C7" w:rsidRDefault="00A644C7"/>
  </w:footnote>
  <w:footnote w:type="continuationSeparator" w:id="0">
    <w:p w14:paraId="4424384A" w14:textId="77777777" w:rsidR="00A644C7" w:rsidRDefault="00A644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C4447"/>
    <w:multiLevelType w:val="multilevel"/>
    <w:tmpl w:val="5092769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0614FB"/>
    <w:multiLevelType w:val="multilevel"/>
    <w:tmpl w:val="0EB82FAA"/>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3F"/>
    <w:rsid w:val="00126AAF"/>
    <w:rsid w:val="001F2289"/>
    <w:rsid w:val="0021633F"/>
    <w:rsid w:val="00540E11"/>
    <w:rsid w:val="005B6904"/>
    <w:rsid w:val="007B18A8"/>
    <w:rsid w:val="00A644C7"/>
    <w:rsid w:val="00EB1D42"/>
    <w:rsid w:val="00EE5F6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64D98"/>
  <w15:docId w15:val="{C3761944-4894-451B-AFB5-5F78760E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sz w:val="22"/>
      <w:szCs w:val="22"/>
    </w:rPr>
  </w:style>
  <w:style w:type="paragraph" w:customStyle="1" w:styleId="Heading10">
    <w:name w:val="Heading #1"/>
    <w:basedOn w:val="Normal"/>
    <w:link w:val="Heading1"/>
    <w:pPr>
      <w:jc w:val="center"/>
      <w:outlineLvl w:val="0"/>
    </w:pPr>
    <w:rPr>
      <w:rFonts w:ascii="Times New Roman" w:eastAsia="Times New Roman" w:hAnsi="Times New Roman" w:cs="Times New Roman"/>
      <w:b/>
      <w:bCs/>
    </w:rPr>
  </w:style>
  <w:style w:type="paragraph" w:customStyle="1" w:styleId="Other0">
    <w:name w:val="Other"/>
    <w:basedOn w:val="Normal"/>
    <w:link w:val="Other"/>
    <w:pPr>
      <w:ind w:firstLine="16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59" w:lineRule="auto"/>
      <w:ind w:firstLine="550"/>
    </w:pP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sz w:val="18"/>
      <w:szCs w:val="18"/>
    </w:rPr>
  </w:style>
  <w:style w:type="paragraph" w:customStyle="1" w:styleId="Bodytext30">
    <w:name w:val="Body text (3)"/>
    <w:basedOn w:val="Normal"/>
    <w:link w:val="Bodytext3"/>
    <w:pPr>
      <w:jc w:val="center"/>
    </w:pPr>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338</Words>
  <Characters>1874</Characters>
  <Application>Microsoft Office Word</Application>
  <DocSecurity>0</DocSecurity>
  <Lines>53</Lines>
  <Paragraphs>40</Paragraphs>
  <ScaleCrop>false</ScaleCrop>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2024-01-29T05:10:00Z</dcterms:created>
  <dcterms:modified xsi:type="dcterms:W3CDTF">2024-01-30T09:35:00Z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2ce1e2a8f003be69890f2c121e1b5dc61922bd38f0275e2b458ed9c78173f818</vt:lpwstr>
  </property>
</Properties>
</file>