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2439F" w14:textId="77777777" w:rsidR="006E6BB2" w:rsidRPr="00F77D5D" w:rsidRDefault="006E6BB2" w:rsidP="00F77D5D">
      <w:pPr>
        <w:pStyle w:val="Vnbnnidung0"/>
        <w:spacing w:after="120" w:line="360" w:lineRule="auto"/>
        <w:rPr>
          <w:rFonts w:ascii="Arial" w:hAnsi="Arial" w:cs="Arial"/>
          <w:b/>
          <w:bCs/>
          <w:color w:val="010000"/>
          <w:sz w:val="20"/>
        </w:rPr>
      </w:pPr>
      <w:bookmarkStart w:id="0" w:name="_GoBack"/>
      <w:bookmarkEnd w:id="0"/>
      <w:r w:rsidRPr="00F77D5D">
        <w:rPr>
          <w:rFonts w:ascii="Arial" w:hAnsi="Arial" w:cs="Arial"/>
          <w:b/>
          <w:color w:val="010000"/>
          <w:sz w:val="20"/>
        </w:rPr>
        <w:t>TNB: Board Resolution</w:t>
      </w:r>
    </w:p>
    <w:p w14:paraId="7F441D14" w14:textId="4F33A5BF" w:rsidR="006E6BB2" w:rsidRPr="00F77D5D" w:rsidRDefault="006E6BB2" w:rsidP="00F77D5D">
      <w:pPr>
        <w:pStyle w:val="Vnbnnidung0"/>
        <w:spacing w:after="120" w:line="360" w:lineRule="auto"/>
        <w:rPr>
          <w:rFonts w:ascii="Arial" w:hAnsi="Arial" w:cs="Arial"/>
          <w:bCs/>
          <w:color w:val="010000"/>
          <w:sz w:val="20"/>
        </w:rPr>
      </w:pPr>
      <w:r w:rsidRPr="00F77D5D">
        <w:rPr>
          <w:rFonts w:ascii="Arial" w:hAnsi="Arial" w:cs="Arial"/>
          <w:color w:val="010000"/>
          <w:sz w:val="20"/>
        </w:rPr>
        <w:t>On January 25, 2024, Nha Be Steel JSC announced Resolution No. 09/NQ-HDQT on borrowing capital and using assets as security at the Joint Stock Commercial Bank for Investment and Development of Viet Nam</w:t>
      </w:r>
      <w:r w:rsidR="00F77D5D" w:rsidRPr="00F77D5D">
        <w:rPr>
          <w:rFonts w:ascii="Arial" w:hAnsi="Arial" w:cs="Arial"/>
          <w:color w:val="010000"/>
          <w:sz w:val="20"/>
        </w:rPr>
        <w:t xml:space="preserve"> </w:t>
      </w:r>
      <w:r w:rsidRPr="00F77D5D">
        <w:rPr>
          <w:rFonts w:ascii="Arial" w:hAnsi="Arial" w:cs="Arial"/>
          <w:color w:val="010000"/>
          <w:sz w:val="20"/>
        </w:rPr>
        <w:t xml:space="preserve">(BIDV) - Ho Chi Minh City Branch, as follows: </w:t>
      </w:r>
    </w:p>
    <w:p w14:paraId="14964800" w14:textId="42101D62" w:rsidR="000D1A53" w:rsidRPr="00F77D5D" w:rsidRDefault="003F1934" w:rsidP="00F77D5D">
      <w:pPr>
        <w:pStyle w:val="Vnbnnidung0"/>
        <w:spacing w:after="120" w:line="360" w:lineRule="auto"/>
        <w:rPr>
          <w:rFonts w:ascii="Arial" w:hAnsi="Arial" w:cs="Arial"/>
          <w:color w:val="010000"/>
          <w:sz w:val="20"/>
        </w:rPr>
      </w:pPr>
      <w:r w:rsidRPr="00F77D5D">
        <w:rPr>
          <w:rFonts w:ascii="Arial" w:hAnsi="Arial" w:cs="Arial"/>
          <w:color w:val="010000"/>
          <w:sz w:val="20"/>
        </w:rPr>
        <w:t>‎‎Article 1. Approve the borrowing capital, guaranteeing and opening of L/C:</w:t>
      </w:r>
    </w:p>
    <w:p w14:paraId="14964801" w14:textId="0C014A2D" w:rsidR="000D1A53" w:rsidRPr="00F77D5D" w:rsidRDefault="003F1934" w:rsidP="00F77D5D">
      <w:pPr>
        <w:pStyle w:val="Vnbnnidung0"/>
        <w:spacing w:after="120" w:line="360" w:lineRule="auto"/>
        <w:rPr>
          <w:rFonts w:ascii="Arial" w:hAnsi="Arial" w:cs="Arial"/>
          <w:color w:val="010000"/>
          <w:sz w:val="20"/>
        </w:rPr>
      </w:pPr>
      <w:r w:rsidRPr="00F77D5D">
        <w:rPr>
          <w:rFonts w:ascii="Arial" w:hAnsi="Arial" w:cs="Arial"/>
          <w:color w:val="010000"/>
          <w:sz w:val="20"/>
        </w:rPr>
        <w:t>Approve the borrowing capital, guaranteeing and opening of L/C of Nha Be Steel JSC (hereinafter referred to as “Company”) at BIDV-Ho Chi Minh City Branch (hereinafter referred to as 'Bank') to serve production and business activities in the form of line of credit/loan by installment.</w:t>
      </w:r>
      <w:r w:rsidR="00F77D5D" w:rsidRPr="00F77D5D">
        <w:rPr>
          <w:rFonts w:ascii="Arial" w:hAnsi="Arial" w:cs="Arial"/>
          <w:color w:val="010000"/>
          <w:sz w:val="20"/>
        </w:rPr>
        <w:t xml:space="preserve"> </w:t>
      </w:r>
      <w:r w:rsidRPr="00F77D5D">
        <w:rPr>
          <w:rFonts w:ascii="Arial" w:hAnsi="Arial" w:cs="Arial"/>
          <w:color w:val="010000"/>
          <w:sz w:val="20"/>
        </w:rPr>
        <w:t>Specifically as follows:</w:t>
      </w:r>
    </w:p>
    <w:p w14:paraId="14964802" w14:textId="7B143752" w:rsidR="000D1A53" w:rsidRPr="00F77D5D" w:rsidRDefault="003F1934" w:rsidP="00F77D5D">
      <w:pPr>
        <w:pStyle w:val="Vnbnnidung0"/>
        <w:numPr>
          <w:ilvl w:val="0"/>
          <w:numId w:val="1"/>
        </w:numPr>
        <w:tabs>
          <w:tab w:val="left" w:pos="720"/>
        </w:tabs>
        <w:spacing w:after="120" w:line="360" w:lineRule="auto"/>
        <w:rPr>
          <w:rFonts w:ascii="Arial" w:hAnsi="Arial" w:cs="Arial"/>
          <w:color w:val="010000"/>
          <w:sz w:val="20"/>
        </w:rPr>
      </w:pPr>
      <w:r w:rsidRPr="00F77D5D">
        <w:rPr>
          <w:rFonts w:ascii="Arial" w:hAnsi="Arial" w:cs="Arial"/>
          <w:color w:val="010000"/>
          <w:sz w:val="20"/>
        </w:rPr>
        <w:t xml:space="preserve">Short-term line of credit in </w:t>
      </w:r>
      <w:r w:rsidR="00F77D5D" w:rsidRPr="00F77D5D">
        <w:rPr>
          <w:rFonts w:ascii="Arial" w:hAnsi="Arial" w:cs="Arial"/>
          <w:color w:val="010000"/>
          <w:sz w:val="20"/>
        </w:rPr>
        <w:t>2023-</w:t>
      </w:r>
      <w:r w:rsidRPr="00F77D5D">
        <w:rPr>
          <w:rFonts w:ascii="Arial" w:hAnsi="Arial" w:cs="Arial"/>
          <w:color w:val="010000"/>
          <w:sz w:val="20"/>
        </w:rPr>
        <w:t xml:space="preserve">2024: VND 120,000,000,000 </w:t>
      </w:r>
    </w:p>
    <w:p w14:paraId="14964803" w14:textId="77777777" w:rsidR="000D1A53" w:rsidRPr="00F77D5D" w:rsidRDefault="003F1934" w:rsidP="00F77D5D">
      <w:pPr>
        <w:pStyle w:val="Vnbnnidung0"/>
        <w:numPr>
          <w:ilvl w:val="0"/>
          <w:numId w:val="1"/>
        </w:numPr>
        <w:tabs>
          <w:tab w:val="left" w:pos="720"/>
        </w:tabs>
        <w:spacing w:after="120" w:line="360" w:lineRule="auto"/>
        <w:rPr>
          <w:rFonts w:ascii="Arial" w:hAnsi="Arial" w:cs="Arial"/>
          <w:color w:val="010000"/>
          <w:sz w:val="20"/>
        </w:rPr>
      </w:pPr>
      <w:r w:rsidRPr="00F77D5D">
        <w:rPr>
          <w:rFonts w:ascii="Arial" w:hAnsi="Arial" w:cs="Arial"/>
          <w:color w:val="010000"/>
          <w:sz w:val="20"/>
        </w:rPr>
        <w:t>Purpose: Borrow to supplement working capital, open L/C and issue guarantees to serve production and business activities.</w:t>
      </w:r>
    </w:p>
    <w:p w14:paraId="14964804" w14:textId="77777777" w:rsidR="000D1A53" w:rsidRPr="00F77D5D" w:rsidRDefault="003F1934" w:rsidP="00F77D5D">
      <w:pPr>
        <w:pStyle w:val="Vnbnnidung0"/>
        <w:numPr>
          <w:ilvl w:val="0"/>
          <w:numId w:val="1"/>
        </w:numPr>
        <w:tabs>
          <w:tab w:val="left" w:pos="720"/>
        </w:tabs>
        <w:spacing w:after="120" w:line="360" w:lineRule="auto"/>
        <w:rPr>
          <w:rFonts w:ascii="Arial" w:hAnsi="Arial" w:cs="Arial"/>
          <w:color w:val="010000"/>
          <w:sz w:val="20"/>
        </w:rPr>
      </w:pPr>
      <w:r w:rsidRPr="00F77D5D">
        <w:rPr>
          <w:rFonts w:ascii="Arial" w:hAnsi="Arial" w:cs="Arial"/>
          <w:color w:val="010000"/>
          <w:sz w:val="20"/>
        </w:rPr>
        <w:t>Loan term: 12 months from the date of signing the Credit Contract.</w:t>
      </w:r>
    </w:p>
    <w:p w14:paraId="14964805" w14:textId="43A2EFA9" w:rsidR="000D1A53" w:rsidRPr="00F77D5D" w:rsidRDefault="003F1934" w:rsidP="00F77D5D">
      <w:pPr>
        <w:pStyle w:val="Vnbnnidung0"/>
        <w:numPr>
          <w:ilvl w:val="0"/>
          <w:numId w:val="1"/>
        </w:numPr>
        <w:tabs>
          <w:tab w:val="left" w:pos="720"/>
        </w:tabs>
        <w:spacing w:after="120" w:line="360" w:lineRule="auto"/>
        <w:rPr>
          <w:rFonts w:ascii="Arial" w:hAnsi="Arial" w:cs="Arial"/>
          <w:color w:val="010000"/>
          <w:sz w:val="20"/>
        </w:rPr>
      </w:pPr>
      <w:r w:rsidRPr="00F77D5D">
        <w:rPr>
          <w:rFonts w:ascii="Arial" w:hAnsi="Arial" w:cs="Arial"/>
          <w:color w:val="010000"/>
          <w:sz w:val="20"/>
        </w:rPr>
        <w:t>Interest rate, fees and capital borrowing conditions: Pursuant to the regulations of the Bank and the agreement in the Credit Contract signed by the Company and the Branch.</w:t>
      </w:r>
    </w:p>
    <w:p w14:paraId="14964806" w14:textId="77777777" w:rsidR="000D1A53" w:rsidRPr="00F77D5D" w:rsidRDefault="003F1934" w:rsidP="00F77D5D">
      <w:pPr>
        <w:pStyle w:val="Vnbnnidung0"/>
        <w:spacing w:after="120" w:line="360" w:lineRule="auto"/>
        <w:rPr>
          <w:rFonts w:ascii="Arial" w:hAnsi="Arial" w:cs="Arial"/>
          <w:color w:val="010000"/>
          <w:sz w:val="20"/>
        </w:rPr>
      </w:pPr>
      <w:r w:rsidRPr="00F77D5D">
        <w:rPr>
          <w:rFonts w:ascii="Arial" w:hAnsi="Arial" w:cs="Arial"/>
          <w:color w:val="010000"/>
          <w:sz w:val="20"/>
        </w:rPr>
        <w:t>‎‎Article 2. Approve the loan security measures</w:t>
      </w:r>
    </w:p>
    <w:p w14:paraId="14964807" w14:textId="10637393" w:rsidR="000D1A53" w:rsidRPr="00F77D5D" w:rsidRDefault="003F1934" w:rsidP="00F77D5D">
      <w:pPr>
        <w:pStyle w:val="Vnbnnidung0"/>
        <w:spacing w:after="120" w:line="360" w:lineRule="auto"/>
        <w:rPr>
          <w:rFonts w:ascii="Arial" w:hAnsi="Arial" w:cs="Arial"/>
          <w:color w:val="010000"/>
          <w:sz w:val="20"/>
        </w:rPr>
      </w:pPr>
      <w:r w:rsidRPr="00F77D5D">
        <w:rPr>
          <w:rFonts w:ascii="Arial" w:hAnsi="Arial" w:cs="Arial"/>
          <w:color w:val="010000"/>
          <w:sz w:val="20"/>
        </w:rPr>
        <w:t>Approve the pledging and mortgaging assets under the rights of use, the ownership of the Company and other mobilized assets of the third party (if any) at the Bank to fulfill the payment obligations with the Bank for loans/guarantees/L/C mentioned above.</w:t>
      </w:r>
    </w:p>
    <w:p w14:paraId="7EFE94A9" w14:textId="77777777" w:rsidR="00AC5585" w:rsidRPr="00F77D5D" w:rsidRDefault="003F1934" w:rsidP="00F77D5D">
      <w:pPr>
        <w:pStyle w:val="Vnbnnidung0"/>
        <w:spacing w:after="120" w:line="360" w:lineRule="auto"/>
        <w:rPr>
          <w:rFonts w:ascii="Arial" w:hAnsi="Arial" w:cs="Arial"/>
          <w:color w:val="010000"/>
          <w:sz w:val="20"/>
        </w:rPr>
      </w:pPr>
      <w:r w:rsidRPr="00F77D5D">
        <w:rPr>
          <w:rFonts w:ascii="Arial" w:hAnsi="Arial" w:cs="Arial"/>
          <w:color w:val="010000"/>
          <w:sz w:val="20"/>
        </w:rPr>
        <w:t>The assets include:</w:t>
      </w:r>
    </w:p>
    <w:p w14:paraId="02A7001B" w14:textId="77777777" w:rsidR="00AC5585" w:rsidRPr="00F77D5D" w:rsidRDefault="003F1934" w:rsidP="00F77D5D">
      <w:pPr>
        <w:pStyle w:val="Vnbnnidung0"/>
        <w:numPr>
          <w:ilvl w:val="0"/>
          <w:numId w:val="1"/>
        </w:numPr>
        <w:spacing w:after="120" w:line="360" w:lineRule="auto"/>
        <w:rPr>
          <w:rFonts w:ascii="Arial" w:hAnsi="Arial" w:cs="Arial"/>
          <w:color w:val="010000"/>
          <w:sz w:val="20"/>
        </w:rPr>
      </w:pPr>
      <w:r w:rsidRPr="00F77D5D">
        <w:rPr>
          <w:rFonts w:ascii="Arial" w:hAnsi="Arial" w:cs="Arial"/>
          <w:color w:val="010000"/>
          <w:sz w:val="20"/>
        </w:rPr>
        <w:t>Automatic control system in steel rolling, bar and shaped steel mills: Automatic control cabinet, Computer hardware, transmission cable system, and Card system.</w:t>
      </w:r>
    </w:p>
    <w:p w14:paraId="6F7E8B1A" w14:textId="77777777" w:rsidR="00AC5585" w:rsidRPr="00F77D5D" w:rsidRDefault="003F1934" w:rsidP="00F77D5D">
      <w:pPr>
        <w:pStyle w:val="Vnbnnidung0"/>
        <w:numPr>
          <w:ilvl w:val="0"/>
          <w:numId w:val="1"/>
        </w:numPr>
        <w:spacing w:after="120" w:line="360" w:lineRule="auto"/>
        <w:rPr>
          <w:rFonts w:ascii="Arial" w:hAnsi="Arial" w:cs="Arial"/>
          <w:color w:val="010000"/>
          <w:sz w:val="20"/>
        </w:rPr>
      </w:pPr>
      <w:r w:rsidRPr="00F77D5D">
        <w:rPr>
          <w:rFonts w:ascii="Arial" w:hAnsi="Arial" w:cs="Arial"/>
          <w:color w:val="010000"/>
          <w:sz w:val="20"/>
        </w:rPr>
        <w:t>Car with license plate No. 51B-022.55</w:t>
      </w:r>
    </w:p>
    <w:p w14:paraId="015AC8E5" w14:textId="77777777" w:rsidR="00AC5585" w:rsidRPr="00F77D5D" w:rsidRDefault="003F1934" w:rsidP="00F77D5D">
      <w:pPr>
        <w:pStyle w:val="Vnbnnidung0"/>
        <w:numPr>
          <w:ilvl w:val="0"/>
          <w:numId w:val="1"/>
        </w:numPr>
        <w:spacing w:after="120" w:line="360" w:lineRule="auto"/>
        <w:rPr>
          <w:rFonts w:ascii="Arial" w:hAnsi="Arial" w:cs="Arial"/>
          <w:color w:val="010000"/>
          <w:sz w:val="20"/>
        </w:rPr>
      </w:pPr>
      <w:r w:rsidRPr="00F77D5D">
        <w:rPr>
          <w:rFonts w:ascii="Arial" w:hAnsi="Arial" w:cs="Arial"/>
          <w:color w:val="010000"/>
          <w:sz w:val="20"/>
        </w:rPr>
        <w:t>Car with license plate No. 51B-085.84</w:t>
      </w:r>
    </w:p>
    <w:p w14:paraId="37417552" w14:textId="77777777" w:rsidR="004C6131" w:rsidRPr="00F77D5D" w:rsidRDefault="003F1934" w:rsidP="00F77D5D">
      <w:pPr>
        <w:pStyle w:val="Vnbnnidung0"/>
        <w:numPr>
          <w:ilvl w:val="0"/>
          <w:numId w:val="1"/>
        </w:numPr>
        <w:spacing w:after="120" w:line="360" w:lineRule="auto"/>
        <w:rPr>
          <w:rFonts w:ascii="Arial" w:hAnsi="Arial" w:cs="Arial"/>
          <w:color w:val="010000"/>
          <w:sz w:val="20"/>
        </w:rPr>
      </w:pPr>
      <w:r w:rsidRPr="00F77D5D">
        <w:rPr>
          <w:rFonts w:ascii="Arial" w:hAnsi="Arial" w:cs="Arial"/>
          <w:color w:val="010000"/>
          <w:sz w:val="20"/>
        </w:rPr>
        <w:t>Car with license plate No. 51A-754.64</w:t>
      </w:r>
    </w:p>
    <w:p w14:paraId="06822EF7" w14:textId="3C7E2289" w:rsidR="004C6131" w:rsidRPr="00F77D5D" w:rsidRDefault="003F1934" w:rsidP="00F77D5D">
      <w:pPr>
        <w:pStyle w:val="Vnbnnidung0"/>
        <w:numPr>
          <w:ilvl w:val="0"/>
          <w:numId w:val="1"/>
        </w:numPr>
        <w:spacing w:after="120" w:line="360" w:lineRule="auto"/>
        <w:rPr>
          <w:rFonts w:ascii="Arial" w:hAnsi="Arial" w:cs="Arial"/>
          <w:color w:val="010000"/>
          <w:sz w:val="20"/>
        </w:rPr>
      </w:pPr>
      <w:r w:rsidRPr="00F77D5D">
        <w:rPr>
          <w:rFonts w:ascii="Arial" w:hAnsi="Arial" w:cs="Arial"/>
          <w:color w:val="010000"/>
          <w:sz w:val="20"/>
        </w:rPr>
        <w:t>Billet cutting machine model: 3#DIIA</w:t>
      </w:r>
    </w:p>
    <w:p w14:paraId="27B0C004" w14:textId="6593CF70" w:rsidR="004C6131" w:rsidRPr="00F77D5D" w:rsidRDefault="003F1934" w:rsidP="00F77D5D">
      <w:pPr>
        <w:pStyle w:val="Vnbnnidung0"/>
        <w:numPr>
          <w:ilvl w:val="0"/>
          <w:numId w:val="1"/>
        </w:numPr>
        <w:spacing w:after="120" w:line="360" w:lineRule="auto"/>
        <w:rPr>
          <w:rFonts w:ascii="Arial" w:hAnsi="Arial" w:cs="Arial"/>
          <w:color w:val="010000"/>
          <w:sz w:val="20"/>
        </w:rPr>
      </w:pPr>
      <w:r w:rsidRPr="00F77D5D">
        <w:rPr>
          <w:rFonts w:ascii="Arial" w:hAnsi="Arial" w:cs="Arial"/>
          <w:color w:val="010000"/>
          <w:sz w:val="20"/>
        </w:rPr>
        <w:t>Inventory turnover</w:t>
      </w:r>
    </w:p>
    <w:p w14:paraId="1496480F" w14:textId="622B06CD" w:rsidR="000D1A53" w:rsidRPr="00F77D5D" w:rsidRDefault="003F1934" w:rsidP="00F77D5D">
      <w:pPr>
        <w:pStyle w:val="Vnbnnidung0"/>
        <w:numPr>
          <w:ilvl w:val="0"/>
          <w:numId w:val="1"/>
        </w:numPr>
        <w:spacing w:after="120" w:line="360" w:lineRule="auto"/>
        <w:rPr>
          <w:rFonts w:ascii="Arial" w:hAnsi="Arial" w:cs="Arial"/>
          <w:color w:val="010000"/>
          <w:sz w:val="20"/>
        </w:rPr>
      </w:pPr>
      <w:r w:rsidRPr="00F77D5D">
        <w:rPr>
          <w:rFonts w:ascii="Arial" w:hAnsi="Arial" w:cs="Arial"/>
          <w:color w:val="010000"/>
          <w:sz w:val="20"/>
        </w:rPr>
        <w:t>Other assets owned by the Company or a third party.</w:t>
      </w:r>
    </w:p>
    <w:p w14:paraId="14964810" w14:textId="77777777" w:rsidR="000D1A53" w:rsidRPr="00F77D5D" w:rsidRDefault="003F1934" w:rsidP="00F77D5D">
      <w:pPr>
        <w:pStyle w:val="Vnbnnidung0"/>
        <w:spacing w:after="120" w:line="360" w:lineRule="auto"/>
        <w:rPr>
          <w:rFonts w:ascii="Arial" w:hAnsi="Arial" w:cs="Arial"/>
          <w:color w:val="010000"/>
          <w:sz w:val="20"/>
        </w:rPr>
      </w:pPr>
      <w:r w:rsidRPr="00F77D5D">
        <w:rPr>
          <w:rFonts w:ascii="Arial" w:hAnsi="Arial" w:cs="Arial"/>
          <w:color w:val="010000"/>
          <w:sz w:val="20"/>
        </w:rPr>
        <w:t>‎‎Article 3. Appoint the Representative of the Corporation to negotiate, approve and sign the contract with the Bank:</w:t>
      </w:r>
    </w:p>
    <w:p w14:paraId="14964811" w14:textId="77777777" w:rsidR="000D1A53" w:rsidRPr="00F77D5D" w:rsidRDefault="003F1934" w:rsidP="00F77D5D">
      <w:pPr>
        <w:pStyle w:val="Vnbnnidung0"/>
        <w:numPr>
          <w:ilvl w:val="0"/>
          <w:numId w:val="2"/>
        </w:numPr>
        <w:tabs>
          <w:tab w:val="left" w:pos="650"/>
        </w:tabs>
        <w:spacing w:after="120" w:line="360" w:lineRule="auto"/>
        <w:rPr>
          <w:rFonts w:ascii="Arial" w:hAnsi="Arial" w:cs="Arial"/>
          <w:color w:val="010000"/>
          <w:sz w:val="20"/>
        </w:rPr>
      </w:pPr>
      <w:r w:rsidRPr="00F77D5D">
        <w:rPr>
          <w:rFonts w:ascii="Arial" w:hAnsi="Arial" w:cs="Arial"/>
          <w:color w:val="010000"/>
          <w:sz w:val="20"/>
        </w:rPr>
        <w:t>The Board of Directors of the Company agrees on appointing one of the following persons to be the Company's representative:</w:t>
      </w:r>
    </w:p>
    <w:p w14:paraId="14964812" w14:textId="2B4516DB" w:rsidR="000D1A53" w:rsidRPr="00F77D5D" w:rsidRDefault="003F1934" w:rsidP="00F77D5D">
      <w:pPr>
        <w:pStyle w:val="Vnbnnidung0"/>
        <w:numPr>
          <w:ilvl w:val="0"/>
          <w:numId w:val="1"/>
        </w:numPr>
        <w:tabs>
          <w:tab w:val="left" w:pos="650"/>
          <w:tab w:val="left" w:pos="4402"/>
        </w:tabs>
        <w:spacing w:after="120" w:line="360" w:lineRule="auto"/>
        <w:rPr>
          <w:rFonts w:ascii="Arial" w:hAnsi="Arial" w:cs="Arial"/>
          <w:color w:val="010000"/>
          <w:sz w:val="20"/>
        </w:rPr>
      </w:pPr>
      <w:r w:rsidRPr="00F77D5D">
        <w:rPr>
          <w:rFonts w:ascii="Arial" w:hAnsi="Arial" w:cs="Arial"/>
          <w:color w:val="010000"/>
          <w:sz w:val="20"/>
        </w:rPr>
        <w:t>Mr. Nguyen Minh Tinh - Member of the Board of Directors/General Manager</w:t>
      </w:r>
    </w:p>
    <w:p w14:paraId="14964813" w14:textId="726D830F" w:rsidR="000D1A53" w:rsidRPr="00F77D5D" w:rsidRDefault="003F1934" w:rsidP="00F77D5D">
      <w:pPr>
        <w:pStyle w:val="Vnbnnidung0"/>
        <w:spacing w:after="120" w:line="360" w:lineRule="auto"/>
        <w:rPr>
          <w:rFonts w:ascii="Arial" w:hAnsi="Arial" w:cs="Arial"/>
          <w:color w:val="010000"/>
          <w:sz w:val="20"/>
        </w:rPr>
      </w:pPr>
      <w:r w:rsidRPr="00F77D5D">
        <w:rPr>
          <w:rFonts w:ascii="Arial" w:hAnsi="Arial" w:cs="Arial"/>
          <w:color w:val="010000"/>
          <w:sz w:val="20"/>
        </w:rPr>
        <w:lastRenderedPageBreak/>
        <w:t>Citizen identification card No.: 051072000267 issued by the Police Department for Administrative Management of Social Order on December 21, 2021.</w:t>
      </w:r>
    </w:p>
    <w:p w14:paraId="5E109821" w14:textId="77777777" w:rsidR="00791C4C" w:rsidRPr="00F77D5D" w:rsidRDefault="003F1934" w:rsidP="00F77D5D">
      <w:pPr>
        <w:pStyle w:val="Vnbnnidung0"/>
        <w:numPr>
          <w:ilvl w:val="0"/>
          <w:numId w:val="1"/>
        </w:numPr>
        <w:tabs>
          <w:tab w:val="left" w:pos="650"/>
        </w:tabs>
        <w:spacing w:after="120" w:line="360" w:lineRule="auto"/>
        <w:rPr>
          <w:rFonts w:ascii="Arial" w:hAnsi="Arial" w:cs="Arial"/>
          <w:color w:val="010000"/>
          <w:sz w:val="20"/>
        </w:rPr>
      </w:pPr>
      <w:r w:rsidRPr="00F77D5D">
        <w:rPr>
          <w:rFonts w:ascii="Arial" w:hAnsi="Arial" w:cs="Arial"/>
          <w:color w:val="010000"/>
          <w:sz w:val="20"/>
        </w:rPr>
        <w:t xml:space="preserve">Mr. Nguyen Huu Khanh - Member of the Board of Directors/Deputy General Manager </w:t>
      </w:r>
    </w:p>
    <w:p w14:paraId="14964814" w14:textId="6BA4FACD" w:rsidR="000D1A53" w:rsidRPr="00F77D5D" w:rsidRDefault="003F1934" w:rsidP="00F77D5D">
      <w:pPr>
        <w:pStyle w:val="Vnbnnidung0"/>
        <w:tabs>
          <w:tab w:val="left" w:pos="650"/>
        </w:tabs>
        <w:spacing w:after="120" w:line="360" w:lineRule="auto"/>
        <w:rPr>
          <w:rFonts w:ascii="Arial" w:hAnsi="Arial" w:cs="Arial"/>
          <w:color w:val="010000"/>
          <w:sz w:val="20"/>
        </w:rPr>
      </w:pPr>
      <w:r w:rsidRPr="00F77D5D">
        <w:rPr>
          <w:rFonts w:ascii="Arial" w:hAnsi="Arial" w:cs="Arial"/>
          <w:color w:val="010000"/>
          <w:sz w:val="20"/>
        </w:rPr>
        <w:t>Citizen identification card No.: 019076000339 issued by the Police Department for Administrative Management of Social Order on November 29, 2021.</w:t>
      </w:r>
    </w:p>
    <w:p w14:paraId="14964815" w14:textId="63D1DFD4" w:rsidR="000D1A53" w:rsidRPr="00F77D5D" w:rsidRDefault="00F77D5D" w:rsidP="00F77D5D">
      <w:pPr>
        <w:pStyle w:val="Vnbnnidung0"/>
        <w:spacing w:after="120" w:line="360" w:lineRule="auto"/>
        <w:rPr>
          <w:rFonts w:ascii="Arial" w:hAnsi="Arial" w:cs="Arial"/>
          <w:color w:val="010000"/>
          <w:sz w:val="20"/>
        </w:rPr>
      </w:pPr>
      <w:r w:rsidRPr="00F77D5D">
        <w:rPr>
          <w:rFonts w:ascii="Arial" w:hAnsi="Arial" w:cs="Arial"/>
          <w:color w:val="010000"/>
          <w:sz w:val="20"/>
        </w:rPr>
        <w:t>The representative of the Company shall n</w:t>
      </w:r>
      <w:r w:rsidR="003F1934" w:rsidRPr="00F77D5D">
        <w:rPr>
          <w:rFonts w:ascii="Arial" w:hAnsi="Arial" w:cs="Arial"/>
          <w:color w:val="010000"/>
          <w:sz w:val="20"/>
        </w:rPr>
        <w:t>egotiate, approve, sign and implement contracts and documents related to the loans, asset mortgage and pledge at the Bank, including but not limited to: Loan request form; Request form for issuing guarantee, opening L/C; Limit credit contract; Guarantee contract; Capital withdrawal list/Specific credit contract; Disbursement request form; Table of disbursement plan; Secured transaction registration form; Minutes of delivery and receipt of documents related to each disbursement; Minutes of valuation of assets and other relevant documents.</w:t>
      </w:r>
    </w:p>
    <w:p w14:paraId="14964816" w14:textId="6D877637" w:rsidR="000D1A53" w:rsidRPr="00F77D5D" w:rsidRDefault="003F1934" w:rsidP="00F77D5D">
      <w:pPr>
        <w:pStyle w:val="Vnbnnidung0"/>
        <w:numPr>
          <w:ilvl w:val="0"/>
          <w:numId w:val="2"/>
        </w:numPr>
        <w:tabs>
          <w:tab w:val="left" w:pos="686"/>
        </w:tabs>
        <w:spacing w:after="120" w:line="360" w:lineRule="auto"/>
        <w:rPr>
          <w:rFonts w:ascii="Arial" w:hAnsi="Arial" w:cs="Arial"/>
          <w:color w:val="010000"/>
          <w:sz w:val="20"/>
        </w:rPr>
      </w:pPr>
      <w:r w:rsidRPr="00F77D5D">
        <w:rPr>
          <w:rFonts w:ascii="Arial" w:hAnsi="Arial" w:cs="Arial"/>
          <w:color w:val="010000"/>
          <w:sz w:val="20"/>
        </w:rPr>
        <w:t>Mr. Nguyen Minh Tinh - General Manager has the right to authorize another person to represent the Company to perform the above tasks.</w:t>
      </w:r>
      <w:r w:rsidR="00F77D5D" w:rsidRPr="00F77D5D">
        <w:rPr>
          <w:rFonts w:ascii="Arial" w:hAnsi="Arial" w:cs="Arial"/>
          <w:color w:val="010000"/>
          <w:sz w:val="20"/>
        </w:rPr>
        <w:t xml:space="preserve"> </w:t>
      </w:r>
      <w:r w:rsidRPr="00F77D5D">
        <w:rPr>
          <w:rFonts w:ascii="Arial" w:hAnsi="Arial" w:cs="Arial"/>
          <w:color w:val="010000"/>
          <w:sz w:val="20"/>
        </w:rPr>
        <w:t>This authorization is made in a separate document.</w:t>
      </w:r>
    </w:p>
    <w:p w14:paraId="14964817" w14:textId="66B24260" w:rsidR="000D1A53" w:rsidRPr="00F77D5D" w:rsidRDefault="003F1934" w:rsidP="00F77D5D">
      <w:pPr>
        <w:pStyle w:val="Vnbnnidung0"/>
        <w:numPr>
          <w:ilvl w:val="0"/>
          <w:numId w:val="2"/>
        </w:numPr>
        <w:tabs>
          <w:tab w:val="left" w:pos="686"/>
        </w:tabs>
        <w:spacing w:after="120" w:line="360" w:lineRule="auto"/>
        <w:rPr>
          <w:rFonts w:ascii="Arial" w:hAnsi="Arial" w:cs="Arial"/>
          <w:color w:val="010000"/>
          <w:sz w:val="20"/>
        </w:rPr>
      </w:pPr>
      <w:r w:rsidRPr="00F77D5D">
        <w:rPr>
          <w:rFonts w:ascii="Arial" w:hAnsi="Arial" w:cs="Arial"/>
          <w:color w:val="010000"/>
          <w:sz w:val="20"/>
        </w:rPr>
        <w:t>The Board of Directors of the Company is responsible for all documents and contracts signed by Mr. Nguyen Minh Tinh, Mr. Nguyen Huu Khanh or the person authorized by Mr. Nguyen Minh Tinh to represent the Company to sign with the Bank in accordance with the contents stated in this</w:t>
      </w:r>
      <w:r w:rsidR="00F77D5D" w:rsidRPr="00F77D5D">
        <w:rPr>
          <w:rFonts w:ascii="Arial" w:hAnsi="Arial" w:cs="Arial"/>
          <w:color w:val="010000"/>
          <w:sz w:val="20"/>
        </w:rPr>
        <w:t xml:space="preserve"> Document</w:t>
      </w:r>
      <w:r w:rsidRPr="00F77D5D">
        <w:rPr>
          <w:rFonts w:ascii="Arial" w:hAnsi="Arial" w:cs="Arial"/>
          <w:color w:val="010000"/>
          <w:sz w:val="20"/>
        </w:rPr>
        <w:t>.</w:t>
      </w:r>
    </w:p>
    <w:p w14:paraId="1496481E" w14:textId="588E78EC" w:rsidR="000D1A53" w:rsidRPr="00F77D5D" w:rsidRDefault="003F1934" w:rsidP="00F77D5D">
      <w:pPr>
        <w:pStyle w:val="Vnbnnidung0"/>
        <w:spacing w:after="120" w:line="360" w:lineRule="auto"/>
        <w:rPr>
          <w:rFonts w:ascii="Arial" w:hAnsi="Arial" w:cs="Arial"/>
          <w:color w:val="010000"/>
          <w:sz w:val="20"/>
        </w:rPr>
      </w:pPr>
      <w:r w:rsidRPr="00F77D5D">
        <w:rPr>
          <w:rFonts w:ascii="Arial" w:hAnsi="Arial" w:cs="Arial"/>
          <w:color w:val="010000"/>
          <w:sz w:val="20"/>
        </w:rPr>
        <w:t>‎‎Article 4. This Resolution takes effect from the date of its signing. Members of the Board of Directors, the Board of Management, functional departments and relevant individuals are responsible for implementing this Resolution.</w:t>
      </w:r>
    </w:p>
    <w:sectPr w:rsidR="000D1A53" w:rsidRPr="00F77D5D" w:rsidSect="00F77D5D">
      <w:pgSz w:w="11907" w:h="1683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84EA7" w14:textId="77777777" w:rsidR="00A0232C" w:rsidRDefault="00A0232C">
      <w:r>
        <w:separator/>
      </w:r>
    </w:p>
  </w:endnote>
  <w:endnote w:type="continuationSeparator" w:id="0">
    <w:p w14:paraId="7320C684" w14:textId="77777777" w:rsidR="00A0232C" w:rsidRDefault="00A02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67700" w14:textId="77777777" w:rsidR="00A0232C" w:rsidRDefault="00A0232C"/>
  </w:footnote>
  <w:footnote w:type="continuationSeparator" w:id="0">
    <w:p w14:paraId="4B60F3BA" w14:textId="77777777" w:rsidR="00A0232C" w:rsidRDefault="00A0232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6854FE"/>
    <w:multiLevelType w:val="multilevel"/>
    <w:tmpl w:val="6ACA2E3A"/>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0"/>
        <w:szCs w:val="24"/>
        <w:u w:val="none"/>
        <w:shd w:val="clear" w:color="auto" w:fill="auto"/>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45014BB"/>
    <w:multiLevelType w:val="multilevel"/>
    <w:tmpl w:val="D14830F8"/>
    <w:lvl w:ilvl="0">
      <w:start w:val="1"/>
      <w:numFmt w:val="bullet"/>
      <w:lvlText w:val="-"/>
      <w:lvlJc w:val="left"/>
      <w:rPr>
        <w:rFonts w:ascii="Arial" w:eastAsia="Times New Roman" w:hAnsi="Arial" w:cs="Arial"/>
        <w:b w:val="0"/>
        <w:bCs w:val="0"/>
        <w:i w:val="0"/>
        <w:iCs w:val="0"/>
        <w:smallCaps w:val="0"/>
        <w:strike w:val="0"/>
        <w:color w:val="000000"/>
        <w:spacing w:val="0"/>
        <w:w w:val="100"/>
        <w:position w:val="0"/>
        <w:sz w:val="20"/>
        <w:szCs w:val="24"/>
        <w:u w:val="none"/>
        <w:shd w:val="clear" w:color="auto" w:fill="auto"/>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53"/>
    <w:rsid w:val="000D1A53"/>
    <w:rsid w:val="001300A6"/>
    <w:rsid w:val="003A046D"/>
    <w:rsid w:val="003B4B5E"/>
    <w:rsid w:val="003F1934"/>
    <w:rsid w:val="004C6131"/>
    <w:rsid w:val="005314E7"/>
    <w:rsid w:val="006E2E11"/>
    <w:rsid w:val="006E6BB2"/>
    <w:rsid w:val="00791C4C"/>
    <w:rsid w:val="00872F7C"/>
    <w:rsid w:val="00A0232C"/>
    <w:rsid w:val="00AC5585"/>
    <w:rsid w:val="00AF15FF"/>
    <w:rsid w:val="00B1003E"/>
    <w:rsid w:val="00C713A9"/>
    <w:rsid w:val="00CC6617"/>
    <w:rsid w:val="00E17B2F"/>
    <w:rsid w:val="00F77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647E6"/>
  <w15:docId w15:val="{4FC054A1-53EA-4AD1-A918-124D3BEB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17"/>
      <w:szCs w:val="17"/>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8"/>
      <w:szCs w:val="8"/>
      <w:u w:val="none"/>
      <w:shd w:val="clear" w:color="auto" w:fill="auto"/>
    </w:rPr>
  </w:style>
  <w:style w:type="character" w:customStyle="1" w:styleId="Vnbnnidung4">
    <w:name w:val="Văn bản nội dung (4)_"/>
    <w:basedOn w:val="DefaultParagraphFont"/>
    <w:link w:val="Vnbnnidung40"/>
    <w:rPr>
      <w:rFonts w:ascii="Arial" w:eastAsia="Arial" w:hAnsi="Arial" w:cs="Arial"/>
      <w:b/>
      <w:bCs/>
      <w:i w:val="0"/>
      <w:iCs w:val="0"/>
      <w:smallCaps w:val="0"/>
      <w:strike w:val="0"/>
      <w:color w:val="CFA2B2"/>
      <w:w w:val="70"/>
      <w:sz w:val="24"/>
      <w:szCs w:val="24"/>
      <w:u w:val="none"/>
      <w:shd w:val="clear" w:color="auto" w:fill="auto"/>
    </w:rPr>
  </w:style>
  <w:style w:type="paragraph" w:customStyle="1" w:styleId="Vnbnnidung30">
    <w:name w:val="Văn bản nội dung (3)"/>
    <w:basedOn w:val="Normal"/>
    <w:link w:val="Vnbnnidung3"/>
    <w:pPr>
      <w:spacing w:line="233" w:lineRule="auto"/>
      <w:jc w:val="center"/>
    </w:pPr>
    <w:rPr>
      <w:rFonts w:ascii="Arial" w:eastAsia="Arial" w:hAnsi="Arial" w:cs="Arial"/>
      <w:sz w:val="17"/>
      <w:szCs w:val="17"/>
    </w:rPr>
  </w:style>
  <w:style w:type="paragraph" w:customStyle="1" w:styleId="Vnbnnidung0">
    <w:name w:val="Văn bản nội dung"/>
    <w:basedOn w:val="Normal"/>
    <w:link w:val="Vnbnnidung"/>
    <w:pPr>
      <w:spacing w:line="262" w:lineRule="auto"/>
    </w:pPr>
    <w:rPr>
      <w:rFonts w:ascii="Times New Roman" w:eastAsia="Times New Roman" w:hAnsi="Times New Roman" w:cs="Times New Roman"/>
    </w:rPr>
  </w:style>
  <w:style w:type="paragraph" w:customStyle="1" w:styleId="Vnbnnidung20">
    <w:name w:val="Văn bản nội dung (2)"/>
    <w:basedOn w:val="Normal"/>
    <w:link w:val="Vnbnnidung2"/>
    <w:pPr>
      <w:spacing w:line="199" w:lineRule="auto"/>
    </w:pPr>
    <w:rPr>
      <w:rFonts w:ascii="Arial" w:eastAsia="Arial" w:hAnsi="Arial" w:cs="Arial"/>
      <w:sz w:val="8"/>
      <w:szCs w:val="8"/>
    </w:rPr>
  </w:style>
  <w:style w:type="paragraph" w:customStyle="1" w:styleId="Vnbnnidung40">
    <w:name w:val="Văn bản nội dung (4)"/>
    <w:basedOn w:val="Normal"/>
    <w:link w:val="Vnbnnidung4"/>
    <w:rPr>
      <w:rFonts w:ascii="Arial" w:eastAsia="Arial" w:hAnsi="Arial" w:cs="Arial"/>
      <w:b/>
      <w:bCs/>
      <w:color w:val="CFA2B2"/>
      <w:w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2024-01-30T04:30:00Z</dcterms:created>
  <dcterms:modified xsi:type="dcterms:W3CDTF">2024-01-30T04:30:00Z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230bfb5fca9fed0dc32e86bc00feea10772277be602e20fb5ddaa8e06ee68bf9</vt:lpwstr>
  </property>
</Properties>
</file>