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441E0" w14:textId="77777777" w:rsidR="00150FE0" w:rsidRPr="004452AE" w:rsidRDefault="00150FE0" w:rsidP="00B72996">
      <w:pPr>
        <w:pStyle w:val="BodyText"/>
        <w:tabs>
          <w:tab w:val="left" w:pos="432"/>
        </w:tabs>
        <w:spacing w:after="120" w:line="360" w:lineRule="auto"/>
        <w:jc w:val="both"/>
        <w:rPr>
          <w:rFonts w:ascii="Arial" w:hAnsi="Arial" w:cs="Arial"/>
          <w:b/>
          <w:color w:val="010000"/>
          <w:sz w:val="20"/>
          <w:szCs w:val="24"/>
        </w:rPr>
      </w:pPr>
      <w:r w:rsidRPr="004452AE">
        <w:rPr>
          <w:rFonts w:ascii="Arial" w:hAnsi="Arial" w:cs="Arial"/>
          <w:b/>
          <w:color w:val="010000"/>
          <w:sz w:val="20"/>
        </w:rPr>
        <w:t>TV3: Information disclosure on the public offering of CHP shares owned by the Company</w:t>
      </w:r>
    </w:p>
    <w:p w14:paraId="36B22FD9" w14:textId="6A84843B" w:rsidR="00AE4025" w:rsidRPr="004452AE" w:rsidRDefault="00150FE0" w:rsidP="00B72996">
      <w:pPr>
        <w:pStyle w:val="BodyText"/>
        <w:tabs>
          <w:tab w:val="left" w:pos="432"/>
        </w:tabs>
        <w:spacing w:after="120" w:line="360" w:lineRule="auto"/>
        <w:jc w:val="both"/>
        <w:rPr>
          <w:rFonts w:ascii="Arial" w:hAnsi="Arial" w:cs="Arial"/>
          <w:color w:val="010000"/>
          <w:sz w:val="20"/>
          <w:szCs w:val="24"/>
        </w:rPr>
      </w:pPr>
      <w:r w:rsidRPr="004452AE">
        <w:rPr>
          <w:rFonts w:ascii="Arial" w:hAnsi="Arial" w:cs="Arial"/>
          <w:color w:val="010000"/>
          <w:sz w:val="20"/>
        </w:rPr>
        <w:t>On January 25, 2024, Power Engineering Consulting Joint Stock Company 3 announced Official Dispatch No. 363/TVD3-VP on information disclosure as follows:</w:t>
      </w:r>
    </w:p>
    <w:p w14:paraId="6CE269A7" w14:textId="7BC246B4" w:rsidR="00AE4025" w:rsidRPr="004452AE" w:rsidRDefault="00AE4025" w:rsidP="00B72996">
      <w:pPr>
        <w:pStyle w:val="BodyText"/>
        <w:tabs>
          <w:tab w:val="left" w:pos="432"/>
        </w:tabs>
        <w:spacing w:after="120" w:line="360" w:lineRule="auto"/>
        <w:jc w:val="both"/>
        <w:rPr>
          <w:rFonts w:ascii="Arial" w:hAnsi="Arial" w:cs="Arial"/>
          <w:color w:val="010000"/>
          <w:sz w:val="20"/>
          <w:szCs w:val="24"/>
        </w:rPr>
      </w:pPr>
      <w:r w:rsidRPr="004452AE">
        <w:rPr>
          <w:rFonts w:ascii="Arial" w:hAnsi="Arial" w:cs="Arial"/>
          <w:color w:val="010000"/>
          <w:sz w:val="20"/>
        </w:rPr>
        <w:t>Pursuant to Article 1 of Resolution No. 156/NQ-HDQT dated August 4, 2022 of the Board of Directors of Power Engineering Consulting Joint Stock Company 3 (PECC3) on approving the policy of divestment at Central Hydropower Joint Stock Company (CHP), PECC3, which is a shareholder holding 53,379 CHP shares, authorized Southern Power Corporation (EVNSPC) to carry out the procedures and dossiers to offer all CHP shares that PECC3 owns together with the offering of EVNSPC according to the content of Authorization Contract No. 0336/CHP/2022/HD-PECC3-EVNSPC dated August 11, 2022.</w:t>
      </w:r>
    </w:p>
    <w:p w14:paraId="3313A2F9" w14:textId="5A1DF394" w:rsidR="00CC706E" w:rsidRPr="004452AE" w:rsidRDefault="00AE4025" w:rsidP="00B72996">
      <w:pPr>
        <w:pStyle w:val="BodyText"/>
        <w:pBdr>
          <w:bottom w:val="single" w:sz="6" w:space="1" w:color="auto"/>
        </w:pBdr>
        <w:tabs>
          <w:tab w:val="left" w:pos="432"/>
        </w:tabs>
        <w:spacing w:after="120" w:line="360" w:lineRule="auto"/>
        <w:jc w:val="both"/>
        <w:rPr>
          <w:rFonts w:ascii="Arial" w:hAnsi="Arial" w:cs="Arial"/>
          <w:color w:val="010000"/>
          <w:sz w:val="20"/>
        </w:rPr>
      </w:pPr>
      <w:r w:rsidRPr="004452AE">
        <w:rPr>
          <w:rFonts w:ascii="Arial" w:hAnsi="Arial" w:cs="Arial"/>
          <w:color w:val="010000"/>
          <w:sz w:val="20"/>
        </w:rPr>
        <w:t>On January 24, 2024, Power Engineering Consulting Joint Stock Company 3 received the Notice on public offering No. 792/TB-EVNSPC dated January 23, 2024 of Southern Power Corporation.</w:t>
      </w:r>
    </w:p>
    <w:p w14:paraId="4A16599E" w14:textId="77777777" w:rsidR="00CC706E" w:rsidRPr="004452AE" w:rsidRDefault="00CC706E" w:rsidP="00B72996">
      <w:pPr>
        <w:pStyle w:val="BodyText"/>
        <w:pBdr>
          <w:bottom w:val="single" w:sz="6" w:space="1" w:color="auto"/>
        </w:pBdr>
        <w:tabs>
          <w:tab w:val="left" w:pos="432"/>
        </w:tabs>
        <w:spacing w:after="120" w:line="360" w:lineRule="auto"/>
        <w:jc w:val="both"/>
        <w:rPr>
          <w:rFonts w:ascii="Arial" w:hAnsi="Arial" w:cs="Arial"/>
          <w:color w:val="010000"/>
          <w:sz w:val="20"/>
          <w:szCs w:val="24"/>
        </w:rPr>
      </w:pPr>
    </w:p>
    <w:p w14:paraId="302A84C2" w14:textId="51185C8F" w:rsidR="00191F7D" w:rsidRPr="004452AE" w:rsidRDefault="00191F7D" w:rsidP="00B72996">
      <w:pPr>
        <w:pStyle w:val="BodyText"/>
        <w:tabs>
          <w:tab w:val="left" w:pos="432"/>
        </w:tabs>
        <w:spacing w:after="120" w:line="360" w:lineRule="auto"/>
        <w:jc w:val="both"/>
        <w:rPr>
          <w:rFonts w:ascii="Arial" w:hAnsi="Arial" w:cs="Arial"/>
          <w:color w:val="010000"/>
          <w:sz w:val="20"/>
          <w:szCs w:val="24"/>
        </w:rPr>
      </w:pPr>
      <w:r w:rsidRPr="004452AE">
        <w:rPr>
          <w:rFonts w:ascii="Arial" w:hAnsi="Arial" w:cs="Arial"/>
          <w:color w:val="010000"/>
          <w:sz w:val="20"/>
        </w:rPr>
        <w:t>On January 23, 2024, Southern Power Corporation announced Notice No. 792/TB-EVNSPC on the public offering as follows:</w:t>
      </w:r>
    </w:p>
    <w:p w14:paraId="7FB53111" w14:textId="48AAFEE8" w:rsidR="00AE4025" w:rsidRPr="004452AE" w:rsidRDefault="00AE4025" w:rsidP="00B72996">
      <w:pPr>
        <w:pStyle w:val="BodyText"/>
        <w:numPr>
          <w:ilvl w:val="0"/>
          <w:numId w:val="4"/>
        </w:numPr>
        <w:tabs>
          <w:tab w:val="left" w:pos="432"/>
          <w:tab w:val="left" w:pos="1523"/>
        </w:tabs>
        <w:spacing w:after="120" w:line="360" w:lineRule="auto"/>
        <w:jc w:val="both"/>
        <w:rPr>
          <w:rFonts w:ascii="Arial" w:hAnsi="Arial" w:cs="Arial"/>
          <w:color w:val="010000"/>
          <w:sz w:val="20"/>
          <w:szCs w:val="24"/>
        </w:rPr>
      </w:pPr>
      <w:r w:rsidRPr="004452AE">
        <w:rPr>
          <w:rFonts w:ascii="Arial" w:hAnsi="Arial" w:cs="Arial"/>
          <w:color w:val="010000"/>
          <w:sz w:val="20"/>
        </w:rPr>
        <w:t>Introduction of the public company with offered shares</w:t>
      </w:r>
    </w:p>
    <w:p w14:paraId="65284F1C" w14:textId="5E9B9684" w:rsidR="00AE4025" w:rsidRPr="004452AE" w:rsidRDefault="00AE4025" w:rsidP="00B72996">
      <w:pPr>
        <w:pStyle w:val="BodyText"/>
        <w:numPr>
          <w:ilvl w:val="0"/>
          <w:numId w:val="5"/>
        </w:numPr>
        <w:tabs>
          <w:tab w:val="left" w:pos="432"/>
          <w:tab w:val="left" w:pos="1531"/>
        </w:tabs>
        <w:spacing w:after="120" w:line="360" w:lineRule="auto"/>
        <w:jc w:val="both"/>
        <w:rPr>
          <w:rFonts w:ascii="Arial" w:hAnsi="Arial" w:cs="Arial"/>
          <w:color w:val="010000"/>
          <w:sz w:val="20"/>
          <w:szCs w:val="24"/>
        </w:rPr>
      </w:pPr>
      <w:r w:rsidRPr="004452AE">
        <w:rPr>
          <w:rFonts w:ascii="Arial" w:hAnsi="Arial" w:cs="Arial"/>
          <w:color w:val="010000"/>
          <w:sz w:val="20"/>
        </w:rPr>
        <w:t xml:space="preserve">Name of public company with offered </w:t>
      </w:r>
      <w:bookmarkStart w:id="0" w:name="_GoBack"/>
      <w:bookmarkEnd w:id="0"/>
      <w:r w:rsidRPr="004452AE">
        <w:rPr>
          <w:rFonts w:ascii="Arial" w:hAnsi="Arial" w:cs="Arial"/>
          <w:color w:val="010000"/>
          <w:sz w:val="20"/>
        </w:rPr>
        <w:t>shares (full name): Central Hydropower Joint Stock Company</w:t>
      </w:r>
    </w:p>
    <w:p w14:paraId="566FE1C7" w14:textId="77777777" w:rsidR="00AE4025" w:rsidRPr="004452AE" w:rsidRDefault="00AE4025" w:rsidP="00B72996">
      <w:pPr>
        <w:pStyle w:val="BodyText"/>
        <w:numPr>
          <w:ilvl w:val="0"/>
          <w:numId w:val="5"/>
        </w:numPr>
        <w:tabs>
          <w:tab w:val="left" w:pos="432"/>
          <w:tab w:val="left" w:pos="1523"/>
        </w:tabs>
        <w:spacing w:after="120" w:line="360" w:lineRule="auto"/>
        <w:jc w:val="both"/>
        <w:rPr>
          <w:rFonts w:ascii="Arial" w:hAnsi="Arial" w:cs="Arial"/>
          <w:color w:val="010000"/>
          <w:sz w:val="20"/>
        </w:rPr>
      </w:pPr>
      <w:r w:rsidRPr="004452AE">
        <w:rPr>
          <w:rFonts w:ascii="Arial" w:hAnsi="Arial" w:cs="Arial"/>
          <w:color w:val="010000"/>
          <w:sz w:val="20"/>
        </w:rPr>
        <w:t>Abbreviated name: CHP</w:t>
      </w:r>
    </w:p>
    <w:p w14:paraId="1D356BC2" w14:textId="5E063E17" w:rsidR="00AE4025" w:rsidRPr="004452AE" w:rsidRDefault="00AE4025" w:rsidP="00B72996">
      <w:pPr>
        <w:pStyle w:val="BodyText"/>
        <w:numPr>
          <w:ilvl w:val="0"/>
          <w:numId w:val="5"/>
        </w:numPr>
        <w:tabs>
          <w:tab w:val="left" w:pos="432"/>
          <w:tab w:val="left" w:pos="1553"/>
        </w:tabs>
        <w:spacing w:after="120" w:line="360" w:lineRule="auto"/>
        <w:jc w:val="both"/>
        <w:rPr>
          <w:rFonts w:ascii="Arial" w:hAnsi="Arial" w:cs="Arial"/>
          <w:color w:val="010000"/>
          <w:sz w:val="20"/>
        </w:rPr>
      </w:pPr>
      <w:r w:rsidRPr="004452AE">
        <w:rPr>
          <w:rFonts w:ascii="Arial" w:hAnsi="Arial" w:cs="Arial"/>
          <w:color w:val="010000"/>
          <w:sz w:val="20"/>
        </w:rPr>
        <w:t xml:space="preserve">Head office address: Da Nang Industrial Park, An Hai Bac Ward, Son Tra District, Da Nang City </w:t>
      </w:r>
    </w:p>
    <w:p w14:paraId="2573AA80" w14:textId="7555747B" w:rsidR="00AE4025" w:rsidRPr="004452AE" w:rsidRDefault="00AE4025" w:rsidP="00B72996">
      <w:pPr>
        <w:pStyle w:val="BodyText"/>
        <w:numPr>
          <w:ilvl w:val="0"/>
          <w:numId w:val="5"/>
        </w:numPr>
        <w:tabs>
          <w:tab w:val="left" w:pos="432"/>
          <w:tab w:val="left" w:pos="1523"/>
          <w:tab w:val="left" w:pos="3780"/>
        </w:tabs>
        <w:spacing w:after="120" w:line="360" w:lineRule="auto"/>
        <w:jc w:val="both"/>
        <w:rPr>
          <w:rFonts w:ascii="Arial" w:hAnsi="Arial" w:cs="Arial"/>
          <w:color w:val="010000"/>
          <w:sz w:val="20"/>
        </w:rPr>
      </w:pPr>
      <w:r w:rsidRPr="004452AE">
        <w:rPr>
          <w:rFonts w:ascii="Arial" w:hAnsi="Arial" w:cs="Arial"/>
          <w:color w:val="010000"/>
          <w:sz w:val="20"/>
        </w:rPr>
        <w:t>Phone number: 0236. 2210571</w:t>
      </w:r>
      <w:r w:rsidRPr="004452AE">
        <w:rPr>
          <w:rFonts w:ascii="Arial" w:hAnsi="Arial" w:cs="Arial"/>
          <w:color w:val="010000"/>
          <w:sz w:val="20"/>
        </w:rPr>
        <w:tab/>
        <w:t>Fax: 0236. 3935960</w:t>
      </w:r>
      <w:r w:rsidRPr="004452AE">
        <w:rPr>
          <w:rFonts w:ascii="Arial" w:hAnsi="Arial" w:cs="Arial"/>
          <w:color w:val="010000"/>
          <w:sz w:val="20"/>
        </w:rPr>
        <w:tab/>
        <w:t>Website: chp.vn</w:t>
      </w:r>
    </w:p>
    <w:p w14:paraId="6160ACBE" w14:textId="4CA86BDC" w:rsidR="00AE4025" w:rsidRPr="004452AE" w:rsidRDefault="00AE4025" w:rsidP="00B72996">
      <w:pPr>
        <w:pStyle w:val="BodyText"/>
        <w:numPr>
          <w:ilvl w:val="0"/>
          <w:numId w:val="5"/>
        </w:numPr>
        <w:tabs>
          <w:tab w:val="left" w:pos="432"/>
          <w:tab w:val="left" w:pos="1523"/>
        </w:tabs>
        <w:spacing w:after="120" w:line="360" w:lineRule="auto"/>
        <w:jc w:val="both"/>
        <w:rPr>
          <w:rFonts w:ascii="Arial" w:hAnsi="Arial" w:cs="Arial"/>
          <w:color w:val="010000"/>
          <w:sz w:val="20"/>
        </w:rPr>
      </w:pPr>
      <w:r w:rsidRPr="004452AE">
        <w:rPr>
          <w:rFonts w:ascii="Arial" w:hAnsi="Arial" w:cs="Arial"/>
          <w:color w:val="010000"/>
          <w:sz w:val="20"/>
        </w:rPr>
        <w:t>Charter capital: VND 1,469,126,680,000.</w:t>
      </w:r>
    </w:p>
    <w:p w14:paraId="54CFD05C" w14:textId="77777777" w:rsidR="00AE4025" w:rsidRPr="004452AE" w:rsidRDefault="00AE4025" w:rsidP="00B72996">
      <w:pPr>
        <w:pStyle w:val="BodyText"/>
        <w:numPr>
          <w:ilvl w:val="0"/>
          <w:numId w:val="5"/>
        </w:numPr>
        <w:tabs>
          <w:tab w:val="left" w:pos="432"/>
          <w:tab w:val="left" w:pos="1523"/>
        </w:tabs>
        <w:spacing w:after="120" w:line="360" w:lineRule="auto"/>
        <w:jc w:val="both"/>
        <w:rPr>
          <w:rFonts w:ascii="Arial" w:hAnsi="Arial" w:cs="Arial"/>
          <w:color w:val="010000"/>
          <w:sz w:val="20"/>
          <w:szCs w:val="24"/>
        </w:rPr>
      </w:pPr>
      <w:r w:rsidRPr="004452AE">
        <w:rPr>
          <w:rFonts w:ascii="Arial" w:hAnsi="Arial" w:cs="Arial"/>
          <w:color w:val="010000"/>
          <w:sz w:val="20"/>
        </w:rPr>
        <w:t>Share code: CHP</w:t>
      </w:r>
    </w:p>
    <w:p w14:paraId="4379435F" w14:textId="209F2C42" w:rsidR="00AE4025" w:rsidRPr="004452AE" w:rsidRDefault="00AE4025" w:rsidP="00B72996">
      <w:pPr>
        <w:pStyle w:val="BodyText"/>
        <w:numPr>
          <w:ilvl w:val="0"/>
          <w:numId w:val="5"/>
        </w:numPr>
        <w:tabs>
          <w:tab w:val="left" w:pos="432"/>
          <w:tab w:val="left" w:pos="1523"/>
        </w:tabs>
        <w:spacing w:after="120" w:line="360" w:lineRule="auto"/>
        <w:jc w:val="both"/>
        <w:rPr>
          <w:rFonts w:ascii="Arial" w:hAnsi="Arial" w:cs="Arial"/>
          <w:color w:val="010000"/>
          <w:sz w:val="20"/>
        </w:rPr>
      </w:pPr>
      <w:r w:rsidRPr="004452AE">
        <w:rPr>
          <w:rFonts w:ascii="Arial" w:hAnsi="Arial" w:cs="Arial"/>
          <w:color w:val="010000"/>
          <w:sz w:val="20"/>
        </w:rPr>
        <w:t>Business Registration Certificate No. 0400477830 issued by the Department of Planning and Investment of Da Nang City for the first time on December 13, 2004, issued for the 10th change on April 24, 2023</w:t>
      </w:r>
    </w:p>
    <w:p w14:paraId="1E1A6736" w14:textId="5BE1A57B" w:rsidR="00AE4025" w:rsidRPr="004452AE" w:rsidRDefault="00AE4025" w:rsidP="00B72996">
      <w:pPr>
        <w:pStyle w:val="BodyText"/>
        <w:numPr>
          <w:ilvl w:val="0"/>
          <w:numId w:val="1"/>
        </w:numPr>
        <w:tabs>
          <w:tab w:val="left" w:pos="432"/>
          <w:tab w:val="left" w:pos="1523"/>
        </w:tabs>
        <w:spacing w:after="120" w:line="360" w:lineRule="auto"/>
        <w:jc w:val="both"/>
        <w:rPr>
          <w:rFonts w:ascii="Arial" w:hAnsi="Arial" w:cs="Arial"/>
          <w:color w:val="010000"/>
          <w:sz w:val="20"/>
        </w:rPr>
      </w:pPr>
      <w:r w:rsidRPr="004452AE">
        <w:rPr>
          <w:rFonts w:ascii="Arial" w:hAnsi="Arial" w:cs="Arial"/>
          <w:color w:val="010000"/>
          <w:sz w:val="20"/>
        </w:rPr>
        <w:t>Main business line: Electric power transmission and distribution (Code: 3510)</w:t>
      </w:r>
    </w:p>
    <w:p w14:paraId="75F631F8" w14:textId="707737DB" w:rsidR="00AE4025" w:rsidRPr="004452AE" w:rsidRDefault="00AE4025" w:rsidP="00B72996">
      <w:pPr>
        <w:pStyle w:val="BodyText"/>
        <w:numPr>
          <w:ilvl w:val="0"/>
          <w:numId w:val="1"/>
        </w:numPr>
        <w:tabs>
          <w:tab w:val="left" w:pos="432"/>
          <w:tab w:val="left" w:pos="1523"/>
        </w:tabs>
        <w:spacing w:after="120" w:line="360" w:lineRule="auto"/>
        <w:jc w:val="both"/>
        <w:rPr>
          <w:rFonts w:ascii="Arial" w:hAnsi="Arial" w:cs="Arial"/>
          <w:color w:val="010000"/>
          <w:sz w:val="20"/>
        </w:rPr>
      </w:pPr>
      <w:r w:rsidRPr="004452AE">
        <w:rPr>
          <w:rFonts w:ascii="Arial" w:hAnsi="Arial" w:cs="Arial"/>
          <w:color w:val="010000"/>
          <w:sz w:val="20"/>
        </w:rPr>
        <w:t>Main products/services: Generation of electricity</w:t>
      </w:r>
    </w:p>
    <w:p w14:paraId="00E7EF82" w14:textId="3C607F9F" w:rsidR="00AE4025" w:rsidRPr="004452AE" w:rsidRDefault="00AE4025" w:rsidP="00B72996">
      <w:pPr>
        <w:pStyle w:val="BodyText"/>
        <w:numPr>
          <w:ilvl w:val="0"/>
          <w:numId w:val="5"/>
        </w:numPr>
        <w:tabs>
          <w:tab w:val="left" w:pos="432"/>
          <w:tab w:val="left" w:pos="1079"/>
        </w:tabs>
        <w:spacing w:after="120" w:line="360" w:lineRule="auto"/>
        <w:jc w:val="both"/>
        <w:rPr>
          <w:rFonts w:ascii="Arial" w:hAnsi="Arial" w:cs="Arial"/>
          <w:color w:val="010000"/>
          <w:sz w:val="20"/>
        </w:rPr>
      </w:pPr>
      <w:r w:rsidRPr="004452AE">
        <w:rPr>
          <w:rFonts w:ascii="Arial" w:hAnsi="Arial" w:cs="Arial"/>
          <w:color w:val="010000"/>
          <w:sz w:val="20"/>
        </w:rPr>
        <w:t>License for establishment and operation (if any according to specialized laws): None</w:t>
      </w:r>
    </w:p>
    <w:p w14:paraId="5CDBFDCE" w14:textId="77777777" w:rsidR="00AE4025" w:rsidRPr="004452AE" w:rsidRDefault="00AE4025" w:rsidP="00B72996">
      <w:pPr>
        <w:pStyle w:val="BodyText"/>
        <w:numPr>
          <w:ilvl w:val="0"/>
          <w:numId w:val="4"/>
        </w:numPr>
        <w:tabs>
          <w:tab w:val="left" w:pos="432"/>
          <w:tab w:val="left" w:pos="911"/>
        </w:tabs>
        <w:spacing w:after="120" w:line="360" w:lineRule="auto"/>
        <w:jc w:val="both"/>
        <w:rPr>
          <w:rFonts w:ascii="Arial" w:hAnsi="Arial" w:cs="Arial"/>
          <w:color w:val="010000"/>
          <w:sz w:val="20"/>
          <w:szCs w:val="24"/>
        </w:rPr>
      </w:pPr>
      <w:r w:rsidRPr="004452AE">
        <w:rPr>
          <w:rFonts w:ascii="Arial" w:hAnsi="Arial" w:cs="Arial"/>
          <w:color w:val="010000"/>
          <w:sz w:val="20"/>
        </w:rPr>
        <w:t>Offering plan</w:t>
      </w:r>
    </w:p>
    <w:p w14:paraId="7EA4AEC9" w14:textId="228E60A4" w:rsidR="00AE4025" w:rsidRPr="004452AE" w:rsidRDefault="00AE4025" w:rsidP="00B72996">
      <w:pPr>
        <w:pStyle w:val="BodyText"/>
        <w:numPr>
          <w:ilvl w:val="0"/>
          <w:numId w:val="6"/>
        </w:numPr>
        <w:tabs>
          <w:tab w:val="left" w:pos="432"/>
          <w:tab w:val="left" w:pos="911"/>
        </w:tabs>
        <w:spacing w:after="120" w:line="360" w:lineRule="auto"/>
        <w:jc w:val="both"/>
        <w:rPr>
          <w:rFonts w:ascii="Arial" w:hAnsi="Arial" w:cs="Arial"/>
          <w:color w:val="010000"/>
          <w:sz w:val="20"/>
          <w:szCs w:val="24"/>
        </w:rPr>
      </w:pPr>
      <w:r w:rsidRPr="004452AE">
        <w:rPr>
          <w:rFonts w:ascii="Arial" w:hAnsi="Arial" w:cs="Arial"/>
          <w:color w:val="010000"/>
          <w:sz w:val="20"/>
        </w:rPr>
        <w:t>Share name: Share of Central Hydropower Joint Stock Company</w:t>
      </w:r>
    </w:p>
    <w:p w14:paraId="0ED2505B" w14:textId="44E55EE2" w:rsidR="00AE4025" w:rsidRPr="004452AE" w:rsidRDefault="00AE4025" w:rsidP="00B72996">
      <w:pPr>
        <w:pStyle w:val="BodyText"/>
        <w:numPr>
          <w:ilvl w:val="0"/>
          <w:numId w:val="6"/>
        </w:numPr>
        <w:tabs>
          <w:tab w:val="left" w:pos="432"/>
          <w:tab w:val="left" w:pos="911"/>
        </w:tabs>
        <w:spacing w:after="120" w:line="360" w:lineRule="auto"/>
        <w:jc w:val="both"/>
        <w:rPr>
          <w:rFonts w:ascii="Arial" w:hAnsi="Arial" w:cs="Arial"/>
          <w:color w:val="010000"/>
          <w:sz w:val="20"/>
        </w:rPr>
      </w:pPr>
      <w:r w:rsidRPr="004452AE">
        <w:rPr>
          <w:rFonts w:ascii="Arial" w:hAnsi="Arial" w:cs="Arial"/>
          <w:color w:val="010000"/>
          <w:sz w:val="20"/>
        </w:rPr>
        <w:t>Share type: common share</w:t>
      </w:r>
    </w:p>
    <w:p w14:paraId="356165F0" w14:textId="77777777" w:rsidR="00AE4025" w:rsidRPr="004452AE" w:rsidRDefault="00AE4025" w:rsidP="00B72996">
      <w:pPr>
        <w:pStyle w:val="BodyText"/>
        <w:numPr>
          <w:ilvl w:val="0"/>
          <w:numId w:val="6"/>
        </w:numPr>
        <w:tabs>
          <w:tab w:val="left" w:pos="432"/>
          <w:tab w:val="left" w:pos="911"/>
        </w:tabs>
        <w:spacing w:after="120" w:line="360" w:lineRule="auto"/>
        <w:jc w:val="both"/>
        <w:rPr>
          <w:rFonts w:ascii="Arial" w:hAnsi="Arial" w:cs="Arial"/>
          <w:color w:val="010000"/>
          <w:sz w:val="20"/>
          <w:szCs w:val="24"/>
        </w:rPr>
      </w:pPr>
      <w:r w:rsidRPr="004452AE">
        <w:rPr>
          <w:rFonts w:ascii="Arial" w:hAnsi="Arial" w:cs="Arial"/>
          <w:color w:val="010000"/>
          <w:sz w:val="20"/>
        </w:rPr>
        <w:t>Number of offered shares: 33,799,377 shares.</w:t>
      </w:r>
    </w:p>
    <w:p w14:paraId="74906879" w14:textId="0AD4BA40" w:rsidR="00AE4025" w:rsidRPr="004452AE" w:rsidRDefault="004452AE" w:rsidP="00B72996">
      <w:pPr>
        <w:pStyle w:val="BodyText"/>
        <w:numPr>
          <w:ilvl w:val="0"/>
          <w:numId w:val="6"/>
        </w:numPr>
        <w:tabs>
          <w:tab w:val="left" w:pos="432"/>
          <w:tab w:val="left" w:pos="911"/>
        </w:tabs>
        <w:spacing w:after="120" w:line="360" w:lineRule="auto"/>
        <w:jc w:val="both"/>
        <w:rPr>
          <w:rFonts w:ascii="Arial" w:hAnsi="Arial" w:cs="Arial"/>
          <w:color w:val="010000"/>
          <w:sz w:val="20"/>
        </w:rPr>
      </w:pPr>
      <w:r w:rsidRPr="004452AE">
        <w:rPr>
          <w:rFonts w:ascii="Arial" w:hAnsi="Arial" w:cs="Arial"/>
          <w:color w:val="010000"/>
          <w:sz w:val="20"/>
        </w:rPr>
        <w:lastRenderedPageBreak/>
        <w:t>Number</w:t>
      </w:r>
      <w:r w:rsidR="00AE4025" w:rsidRPr="004452AE">
        <w:rPr>
          <w:rFonts w:ascii="Arial" w:hAnsi="Arial" w:cs="Arial"/>
          <w:color w:val="010000"/>
          <w:sz w:val="20"/>
        </w:rPr>
        <w:t xml:space="preserve"> of shares offered/total number of shares owned: 100%.</w:t>
      </w:r>
    </w:p>
    <w:p w14:paraId="6304E450" w14:textId="5EBDC35A" w:rsidR="00AE4025" w:rsidRPr="004452AE" w:rsidRDefault="00AE4025" w:rsidP="00B72996">
      <w:pPr>
        <w:pStyle w:val="BodyText"/>
        <w:numPr>
          <w:ilvl w:val="0"/>
          <w:numId w:val="6"/>
        </w:numPr>
        <w:tabs>
          <w:tab w:val="left" w:pos="432"/>
          <w:tab w:val="left" w:pos="954"/>
        </w:tabs>
        <w:spacing w:after="120" w:line="360" w:lineRule="auto"/>
        <w:jc w:val="both"/>
        <w:rPr>
          <w:rFonts w:ascii="Arial" w:hAnsi="Arial" w:cs="Arial"/>
          <w:color w:val="010000"/>
          <w:sz w:val="20"/>
        </w:rPr>
      </w:pPr>
      <w:r w:rsidRPr="004452AE">
        <w:rPr>
          <w:rFonts w:ascii="Arial" w:hAnsi="Arial" w:cs="Arial"/>
          <w:color w:val="010000"/>
          <w:sz w:val="20"/>
        </w:rPr>
        <w:t>Number of shares offered/total number of outstanding shares of the same type of the public company whose shares are offered: 23.01%.</w:t>
      </w:r>
    </w:p>
    <w:p w14:paraId="4DB7C2BA" w14:textId="1B535207" w:rsidR="00AE4025" w:rsidRPr="004452AE" w:rsidRDefault="00AE4025" w:rsidP="00B72996">
      <w:pPr>
        <w:pStyle w:val="BodyText"/>
        <w:numPr>
          <w:ilvl w:val="0"/>
          <w:numId w:val="6"/>
        </w:numPr>
        <w:tabs>
          <w:tab w:val="left" w:pos="432"/>
          <w:tab w:val="left" w:pos="911"/>
        </w:tabs>
        <w:spacing w:after="120" w:line="360" w:lineRule="auto"/>
        <w:jc w:val="both"/>
        <w:rPr>
          <w:rFonts w:ascii="Arial" w:hAnsi="Arial" w:cs="Arial"/>
          <w:color w:val="010000"/>
          <w:sz w:val="20"/>
          <w:szCs w:val="24"/>
        </w:rPr>
      </w:pPr>
      <w:r w:rsidRPr="004452AE">
        <w:rPr>
          <w:rFonts w:ascii="Arial" w:hAnsi="Arial" w:cs="Arial"/>
          <w:color w:val="010000"/>
          <w:sz w:val="20"/>
        </w:rPr>
        <w:t>Offering price: VND 73,115/share.</w:t>
      </w:r>
    </w:p>
    <w:p w14:paraId="1DB64877" w14:textId="596B0466" w:rsidR="00AE4025" w:rsidRPr="004452AE" w:rsidRDefault="00AE4025" w:rsidP="00B72996">
      <w:pPr>
        <w:pStyle w:val="BodyText"/>
        <w:numPr>
          <w:ilvl w:val="0"/>
          <w:numId w:val="6"/>
        </w:numPr>
        <w:tabs>
          <w:tab w:val="left" w:pos="432"/>
          <w:tab w:val="left" w:pos="954"/>
        </w:tabs>
        <w:spacing w:after="120" w:line="360" w:lineRule="auto"/>
        <w:jc w:val="both"/>
        <w:rPr>
          <w:rFonts w:ascii="Arial" w:hAnsi="Arial" w:cs="Arial"/>
          <w:color w:val="010000"/>
          <w:sz w:val="20"/>
        </w:rPr>
      </w:pPr>
      <w:r w:rsidRPr="004452AE">
        <w:rPr>
          <w:rFonts w:ascii="Arial" w:hAnsi="Arial" w:cs="Arial"/>
          <w:color w:val="010000"/>
          <w:sz w:val="20"/>
        </w:rPr>
        <w:t>Distribution method: Other documents upon requirements from the Ho Chi Minh City Stock Exchange.</w:t>
      </w:r>
    </w:p>
    <w:p w14:paraId="7506D079" w14:textId="2372A619" w:rsidR="00AE4025" w:rsidRPr="004452AE" w:rsidRDefault="00AE4025" w:rsidP="00B72996">
      <w:pPr>
        <w:pStyle w:val="BodyText"/>
        <w:numPr>
          <w:ilvl w:val="0"/>
          <w:numId w:val="6"/>
        </w:numPr>
        <w:tabs>
          <w:tab w:val="left" w:pos="432"/>
          <w:tab w:val="left" w:pos="911"/>
        </w:tabs>
        <w:spacing w:after="120" w:line="360" w:lineRule="auto"/>
        <w:jc w:val="both"/>
        <w:rPr>
          <w:rFonts w:ascii="Arial" w:hAnsi="Arial" w:cs="Arial"/>
          <w:color w:val="010000"/>
          <w:sz w:val="20"/>
        </w:rPr>
      </w:pPr>
      <w:r w:rsidRPr="004452AE">
        <w:rPr>
          <w:rFonts w:ascii="Arial" w:hAnsi="Arial" w:cs="Arial"/>
          <w:color w:val="010000"/>
          <w:sz w:val="20"/>
        </w:rPr>
        <w:t>Minimum number of shares that can be registered to purchase: In batches of shares. Each batch contains 33,799,377 shares.</w:t>
      </w:r>
    </w:p>
    <w:p w14:paraId="2178AA98" w14:textId="47F9A945" w:rsidR="00AE4025" w:rsidRPr="004452AE" w:rsidRDefault="00AE4025" w:rsidP="00B72996">
      <w:pPr>
        <w:pStyle w:val="BodyText"/>
        <w:numPr>
          <w:ilvl w:val="0"/>
          <w:numId w:val="6"/>
        </w:numPr>
        <w:tabs>
          <w:tab w:val="left" w:pos="432"/>
          <w:tab w:val="left" w:pos="954"/>
        </w:tabs>
        <w:spacing w:after="120" w:line="360" w:lineRule="auto"/>
        <w:jc w:val="both"/>
        <w:rPr>
          <w:rFonts w:ascii="Arial" w:hAnsi="Arial" w:cs="Arial"/>
          <w:color w:val="010000"/>
          <w:sz w:val="20"/>
        </w:rPr>
      </w:pPr>
      <w:r w:rsidRPr="004452AE">
        <w:rPr>
          <w:rFonts w:ascii="Arial" w:hAnsi="Arial" w:cs="Arial"/>
          <w:color w:val="010000"/>
          <w:sz w:val="20"/>
        </w:rPr>
        <w:t>Time to receive purchase registration: According to specific regulations in the Regulations on offering shares of Central Hydropower Joint Stock Company. The time to receive registration to buy shall be at least 20 days as prescribed in Article 26 of the Law on Securities. Expected in February - March 2024</w:t>
      </w:r>
    </w:p>
    <w:p w14:paraId="2D354DC8" w14:textId="6BD61819" w:rsidR="00AE4025" w:rsidRPr="004452AE" w:rsidRDefault="00AE4025" w:rsidP="00B72996">
      <w:pPr>
        <w:pStyle w:val="BodyText"/>
        <w:numPr>
          <w:ilvl w:val="0"/>
          <w:numId w:val="6"/>
        </w:numPr>
        <w:tabs>
          <w:tab w:val="left" w:pos="432"/>
          <w:tab w:val="left" w:pos="1045"/>
        </w:tabs>
        <w:spacing w:after="120" w:line="360" w:lineRule="auto"/>
        <w:jc w:val="both"/>
        <w:rPr>
          <w:rFonts w:ascii="Arial" w:hAnsi="Arial" w:cs="Arial"/>
          <w:color w:val="010000"/>
          <w:sz w:val="20"/>
        </w:rPr>
      </w:pPr>
      <w:r w:rsidRPr="004452AE">
        <w:rPr>
          <w:rFonts w:ascii="Arial" w:hAnsi="Arial" w:cs="Arial"/>
          <w:color w:val="010000"/>
          <w:sz w:val="20"/>
        </w:rPr>
        <w:t>Venue to receive share purchase registration: Ho Chi Minh City Stock Exchange and auction agents according to the Regulations on offering shares of Central Hydropower Joint Stock Company.</w:t>
      </w:r>
    </w:p>
    <w:p w14:paraId="70F5ACD9" w14:textId="0B9228B9" w:rsidR="00AE4025" w:rsidRPr="004452AE" w:rsidRDefault="00AE4025" w:rsidP="00B72996">
      <w:pPr>
        <w:pStyle w:val="BodyText"/>
        <w:numPr>
          <w:ilvl w:val="0"/>
          <w:numId w:val="6"/>
        </w:numPr>
        <w:tabs>
          <w:tab w:val="left" w:pos="432"/>
          <w:tab w:val="left" w:pos="1045"/>
        </w:tabs>
        <w:spacing w:after="120" w:line="360" w:lineRule="auto"/>
        <w:jc w:val="both"/>
        <w:rPr>
          <w:rFonts w:ascii="Arial" w:hAnsi="Arial" w:cs="Arial"/>
          <w:color w:val="010000"/>
          <w:sz w:val="20"/>
        </w:rPr>
      </w:pPr>
      <w:r w:rsidRPr="004452AE">
        <w:rPr>
          <w:rFonts w:ascii="Arial" w:hAnsi="Arial" w:cs="Arial"/>
          <w:color w:val="010000"/>
          <w:sz w:val="20"/>
        </w:rPr>
        <w:t>Time to receive share purchase money: According to specific regulations in the Regulations on offering shares of Central Hydropower Joint Stock Company. Expected in March 2024</w:t>
      </w:r>
    </w:p>
    <w:p w14:paraId="1BF4EDB5" w14:textId="77777777" w:rsidR="00AE4025" w:rsidRPr="004452AE" w:rsidRDefault="00AE4025" w:rsidP="00B72996">
      <w:pPr>
        <w:pStyle w:val="BodyText"/>
        <w:numPr>
          <w:ilvl w:val="0"/>
          <w:numId w:val="6"/>
        </w:numPr>
        <w:tabs>
          <w:tab w:val="left" w:pos="432"/>
          <w:tab w:val="left" w:pos="990"/>
        </w:tabs>
        <w:spacing w:after="120" w:line="360" w:lineRule="auto"/>
        <w:jc w:val="both"/>
        <w:rPr>
          <w:rFonts w:ascii="Arial" w:hAnsi="Arial" w:cs="Arial"/>
          <w:color w:val="010000"/>
          <w:sz w:val="20"/>
        </w:rPr>
      </w:pPr>
      <w:r w:rsidRPr="004452AE">
        <w:rPr>
          <w:rFonts w:ascii="Arial" w:hAnsi="Arial" w:cs="Arial"/>
          <w:color w:val="010000"/>
          <w:sz w:val="20"/>
        </w:rPr>
        <w:t>Escrow account for receiving payment of share purchase:</w:t>
      </w:r>
    </w:p>
    <w:p w14:paraId="1E4FE962" w14:textId="77777777" w:rsidR="00AE4025" w:rsidRPr="004452AE" w:rsidRDefault="00AE4025" w:rsidP="00B72996">
      <w:pPr>
        <w:pStyle w:val="BodyText"/>
        <w:numPr>
          <w:ilvl w:val="0"/>
          <w:numId w:val="1"/>
        </w:numPr>
        <w:tabs>
          <w:tab w:val="left" w:pos="432"/>
          <w:tab w:val="left" w:pos="1147"/>
        </w:tabs>
        <w:spacing w:after="120" w:line="360" w:lineRule="auto"/>
        <w:jc w:val="both"/>
        <w:rPr>
          <w:rFonts w:ascii="Arial" w:hAnsi="Arial" w:cs="Arial"/>
          <w:color w:val="010000"/>
          <w:sz w:val="20"/>
          <w:szCs w:val="24"/>
        </w:rPr>
      </w:pPr>
      <w:r w:rsidRPr="004452AE">
        <w:rPr>
          <w:rFonts w:ascii="Arial" w:hAnsi="Arial" w:cs="Arial"/>
          <w:color w:val="010000"/>
          <w:sz w:val="20"/>
        </w:rPr>
        <w:t>Account No. 1600201454409</w:t>
      </w:r>
    </w:p>
    <w:p w14:paraId="7AB92A04" w14:textId="1BA7F683" w:rsidR="00AE4025" w:rsidRPr="004452AE" w:rsidRDefault="00AE4025" w:rsidP="00B72996">
      <w:pPr>
        <w:pStyle w:val="BodyText"/>
        <w:numPr>
          <w:ilvl w:val="0"/>
          <w:numId w:val="1"/>
        </w:numPr>
        <w:tabs>
          <w:tab w:val="left" w:pos="432"/>
          <w:tab w:val="left" w:pos="1147"/>
        </w:tabs>
        <w:spacing w:after="120" w:line="360" w:lineRule="auto"/>
        <w:jc w:val="both"/>
        <w:rPr>
          <w:rFonts w:ascii="Arial" w:hAnsi="Arial" w:cs="Arial"/>
          <w:color w:val="010000"/>
          <w:sz w:val="20"/>
        </w:rPr>
      </w:pPr>
      <w:r w:rsidRPr="004452AE">
        <w:rPr>
          <w:rFonts w:ascii="Arial" w:hAnsi="Arial" w:cs="Arial"/>
          <w:color w:val="010000"/>
          <w:sz w:val="20"/>
        </w:rPr>
        <w:t>Opened at: Vietnam Bank for Agriculture and Rural Development - Saigon Branch</w:t>
      </w:r>
    </w:p>
    <w:sectPr w:rsidR="00AE4025" w:rsidRPr="004452AE" w:rsidSect="00CC706E">
      <w:footnotePr>
        <w:numFmt w:val="chicago"/>
      </w:footnotePr>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F66EF" w14:textId="77777777" w:rsidR="0071100F" w:rsidRDefault="0071100F">
      <w:r>
        <w:separator/>
      </w:r>
    </w:p>
  </w:endnote>
  <w:endnote w:type="continuationSeparator" w:id="0">
    <w:p w14:paraId="43555331" w14:textId="77777777" w:rsidR="0071100F" w:rsidRDefault="0071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93CF8" w14:textId="77777777" w:rsidR="0071100F" w:rsidRDefault="0071100F"/>
  </w:footnote>
  <w:footnote w:type="continuationSeparator" w:id="0">
    <w:p w14:paraId="1960A8F4" w14:textId="77777777" w:rsidR="0071100F" w:rsidRDefault="007110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416E"/>
    <w:multiLevelType w:val="multilevel"/>
    <w:tmpl w:val="D9644F36"/>
    <w:lvl w:ilvl="0">
      <w:start w:val="1"/>
      <w:numFmt w:val="upperRoman"/>
      <w:lvlRestart w:val="0"/>
      <w:lvlText w:val="%1."/>
      <w:lvlJc w:val="left"/>
      <w:rPr>
        <w:b w:val="0"/>
        <w:bCs w:val="0"/>
        <w:i w:val="0"/>
        <w:iCs w:val="0"/>
        <w:smallCaps w:val="0"/>
        <w:strike w:val="0"/>
        <w:color w:val="000000"/>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45259D"/>
    <w:multiLevelType w:val="multilevel"/>
    <w:tmpl w:val="80CED94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F95C7E"/>
    <w:multiLevelType w:val="multilevel"/>
    <w:tmpl w:val="AE78E3EE"/>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F6527A"/>
    <w:multiLevelType w:val="multilevel"/>
    <w:tmpl w:val="1CCC3EB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AE7C64"/>
    <w:multiLevelType w:val="multilevel"/>
    <w:tmpl w:val="1C38044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D62CF8"/>
    <w:multiLevelType w:val="multilevel"/>
    <w:tmpl w:val="9342E9D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5"/>
  </w:num>
  <w:num w:numId="4">
    <w:abstractNumId w:val="0"/>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6D"/>
    <w:rsid w:val="00150FE0"/>
    <w:rsid w:val="00191F7D"/>
    <w:rsid w:val="002162F3"/>
    <w:rsid w:val="002C5D6D"/>
    <w:rsid w:val="004452AE"/>
    <w:rsid w:val="004E4A0B"/>
    <w:rsid w:val="0071100F"/>
    <w:rsid w:val="007D1E47"/>
    <w:rsid w:val="00A61AEE"/>
    <w:rsid w:val="00AE4025"/>
    <w:rsid w:val="00B72996"/>
    <w:rsid w:val="00CC7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2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6">
    <w:name w:val="Heading #6_"/>
    <w:basedOn w:val="DefaultParagraphFont"/>
    <w:link w:val="Heading6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6"/>
      <w:szCs w:val="16"/>
      <w:u w:val="none"/>
      <w:shd w:val="clear" w:color="auto" w:fill="auto"/>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Heading7">
    <w:name w:val="Heading #7_"/>
    <w:basedOn w:val="DefaultParagraphFont"/>
    <w:link w:val="Heading7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60"/>
      <w:szCs w:val="60"/>
      <w:u w:val="none"/>
      <w:shd w:val="clear" w:color="auto" w:fill="auto"/>
    </w:rPr>
  </w:style>
  <w:style w:type="character" w:customStyle="1" w:styleId="Bodytext6">
    <w:name w:val="Body text (6)_"/>
    <w:basedOn w:val="DefaultParagraphFont"/>
    <w:link w:val="Bodytext60"/>
    <w:rPr>
      <w:rFonts w:ascii="Arial" w:eastAsia="Arial" w:hAnsi="Arial" w:cs="Arial"/>
      <w:b/>
      <w:bCs/>
      <w:i w:val="0"/>
      <w:iCs w:val="0"/>
      <w:smallCaps w:val="0"/>
      <w:strike w:val="0"/>
      <w:sz w:val="15"/>
      <w:szCs w:val="15"/>
      <w:u w:val="none"/>
      <w:shd w:val="clear" w:color="auto" w:fill="auto"/>
    </w:rPr>
  </w:style>
  <w:style w:type="character" w:customStyle="1" w:styleId="Bodytext7">
    <w:name w:val="Body text (7)_"/>
    <w:basedOn w:val="DefaultParagraphFont"/>
    <w:link w:val="Bodytext70"/>
    <w:rPr>
      <w:rFonts w:ascii="Arial" w:eastAsia="Arial" w:hAnsi="Arial" w:cs="Arial"/>
      <w:b/>
      <w:bCs/>
      <w:i w:val="0"/>
      <w:iCs w:val="0"/>
      <w:smallCaps w:val="0"/>
      <w:strike w:val="0"/>
      <w:sz w:val="17"/>
      <w:szCs w:val="17"/>
      <w:u w:val="none"/>
      <w:shd w:val="clear" w:color="auto" w:fill="auto"/>
    </w:rPr>
  </w:style>
  <w:style w:type="character" w:customStyle="1" w:styleId="Heading4">
    <w:name w:val="Heading #4_"/>
    <w:basedOn w:val="DefaultParagraphFont"/>
    <w:link w:val="Heading40"/>
    <w:rPr>
      <w:rFonts w:ascii="Times New Roman" w:eastAsia="Times New Roman" w:hAnsi="Times New Roman" w:cs="Times New Roman"/>
      <w:b/>
      <w:bCs/>
      <w:i w:val="0"/>
      <w:iCs w:val="0"/>
      <w:smallCaps w:val="0"/>
      <w:strike w:val="0"/>
      <w:w w:val="50"/>
      <w:sz w:val="34"/>
      <w:szCs w:val="34"/>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Bodytext8">
    <w:name w:val="Body text (8)_"/>
    <w:basedOn w:val="DefaultParagraphFont"/>
    <w:link w:val="Bodytext80"/>
    <w:rPr>
      <w:rFonts w:ascii="Arial" w:eastAsia="Arial" w:hAnsi="Arial" w:cs="Arial"/>
      <w:b w:val="0"/>
      <w:bCs w:val="0"/>
      <w:i w:val="0"/>
      <w:iCs w:val="0"/>
      <w:smallCaps w:val="0"/>
      <w:strike w:val="0"/>
      <w:sz w:val="64"/>
      <w:szCs w:val="64"/>
      <w:u w:val="none"/>
      <w:shd w:val="clear" w:color="auto" w:fill="auto"/>
    </w:rPr>
  </w:style>
  <w:style w:type="character" w:customStyle="1" w:styleId="Heading5">
    <w:name w:val="Heading #5_"/>
    <w:basedOn w:val="DefaultParagraphFont"/>
    <w:link w:val="Heading50"/>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Bodytext9">
    <w:name w:val="Body text (9)_"/>
    <w:basedOn w:val="DefaultParagraphFont"/>
    <w:link w:val="Bodytext90"/>
    <w:rPr>
      <w:rFonts w:ascii="Arial" w:eastAsia="Arial" w:hAnsi="Arial" w:cs="Arial"/>
      <w:b/>
      <w:bCs/>
      <w:i w:val="0"/>
      <w:iCs w:val="0"/>
      <w:smallCaps w:val="0"/>
      <w:strike w:val="0"/>
      <w:sz w:val="10"/>
      <w:szCs w:val="10"/>
      <w:u w:val="none"/>
      <w:shd w:val="clear" w:color="auto" w:fill="auto"/>
    </w:rPr>
  </w:style>
  <w:style w:type="character" w:customStyle="1" w:styleId="Heading1">
    <w:name w:val="Heading #1_"/>
    <w:basedOn w:val="DefaultParagraphFont"/>
    <w:link w:val="Heading10"/>
    <w:rPr>
      <w:rFonts w:ascii="Arial" w:eastAsia="Arial" w:hAnsi="Arial" w:cs="Arial"/>
      <w:b w:val="0"/>
      <w:bCs w:val="0"/>
      <w:i w:val="0"/>
      <w:iCs w:val="0"/>
      <w:smallCaps w:val="0"/>
      <w:strike w:val="0"/>
      <w:sz w:val="76"/>
      <w:szCs w:val="76"/>
      <w:u w:val="none"/>
      <w:shd w:val="clear" w:color="auto" w:fill="auto"/>
    </w:rPr>
  </w:style>
  <w:style w:type="character" w:customStyle="1" w:styleId="Bodytext10">
    <w:name w:val="Body text (10)_"/>
    <w:basedOn w:val="DefaultParagraphFont"/>
    <w:link w:val="Bodytext100"/>
    <w:rPr>
      <w:rFonts w:ascii="Arial" w:eastAsia="Arial" w:hAnsi="Arial" w:cs="Arial"/>
      <w:b/>
      <w:bCs/>
      <w:i w:val="0"/>
      <w:iCs w:val="0"/>
      <w:smallCaps w:val="0"/>
      <w:strike w:val="0"/>
      <w:u w:val="none"/>
      <w:shd w:val="clear" w:color="auto" w:fill="auto"/>
    </w:rPr>
  </w:style>
  <w:style w:type="paragraph" w:customStyle="1" w:styleId="Footnote0">
    <w:name w:val="Footnote"/>
    <w:basedOn w:val="Normal"/>
    <w:link w:val="Footnote"/>
    <w:pPr>
      <w:spacing w:line="329" w:lineRule="auto"/>
      <w:ind w:left="860"/>
    </w:pPr>
    <w:rPr>
      <w:rFonts w:ascii="Times New Roman" w:eastAsia="Times New Roman" w:hAnsi="Times New Roman" w:cs="Times New Roman"/>
      <w:i/>
      <w:iCs/>
      <w:sz w:val="22"/>
      <w:szCs w:val="22"/>
    </w:rPr>
  </w:style>
  <w:style w:type="paragraph" w:styleId="BodyText">
    <w:name w:val="Body Text"/>
    <w:basedOn w:val="Normal"/>
    <w:link w:val="BodyTextChar"/>
    <w:qFormat/>
    <w:pPr>
      <w:spacing w:line="322" w:lineRule="auto"/>
    </w:pPr>
    <w:rPr>
      <w:rFonts w:ascii="Times New Roman" w:eastAsia="Times New Roman" w:hAnsi="Times New Roman" w:cs="Times New Roman"/>
      <w:sz w:val="22"/>
      <w:szCs w:val="22"/>
    </w:rPr>
  </w:style>
  <w:style w:type="paragraph" w:customStyle="1" w:styleId="Other0">
    <w:name w:val="Other"/>
    <w:basedOn w:val="Normal"/>
    <w:link w:val="Other"/>
    <w:pPr>
      <w:spacing w:line="322" w:lineRule="auto"/>
    </w:pPr>
    <w:rPr>
      <w:rFonts w:ascii="Times New Roman" w:eastAsia="Times New Roman" w:hAnsi="Times New Roman" w:cs="Times New Roman"/>
      <w:sz w:val="22"/>
      <w:szCs w:val="22"/>
    </w:rPr>
  </w:style>
  <w:style w:type="paragraph" w:customStyle="1" w:styleId="Heading60">
    <w:name w:val="Heading #6"/>
    <w:basedOn w:val="Normal"/>
    <w:link w:val="Heading6"/>
    <w:pPr>
      <w:spacing w:line="266" w:lineRule="auto"/>
      <w:jc w:val="center"/>
      <w:outlineLvl w:val="5"/>
    </w:pPr>
    <w:rPr>
      <w:rFonts w:ascii="Times New Roman" w:eastAsia="Times New Roman" w:hAnsi="Times New Roman" w:cs="Times New Roman"/>
      <w:b/>
      <w:bCs/>
      <w:sz w:val="26"/>
      <w:szCs w:val="26"/>
    </w:rPr>
  </w:style>
  <w:style w:type="paragraph" w:customStyle="1" w:styleId="Bodytext20">
    <w:name w:val="Body text (2)"/>
    <w:basedOn w:val="Normal"/>
    <w:link w:val="Bodytext2"/>
    <w:rPr>
      <w:rFonts w:ascii="Times New Roman" w:eastAsia="Times New Roman" w:hAnsi="Times New Roman" w:cs="Times New Roman"/>
      <w:b/>
      <w:bCs/>
      <w:sz w:val="16"/>
      <w:szCs w:val="16"/>
    </w:rPr>
  </w:style>
  <w:style w:type="paragraph" w:customStyle="1" w:styleId="Heading30">
    <w:name w:val="Heading #3"/>
    <w:basedOn w:val="Normal"/>
    <w:link w:val="Heading3"/>
    <w:pPr>
      <w:spacing w:line="180" w:lineRule="auto"/>
      <w:ind w:left="4000"/>
      <w:outlineLvl w:val="2"/>
    </w:pPr>
    <w:rPr>
      <w:rFonts w:ascii="Times New Roman" w:eastAsia="Times New Roman" w:hAnsi="Times New Roman" w:cs="Times New Roman"/>
      <w:b/>
      <w:bCs/>
      <w:sz w:val="36"/>
      <w:szCs w:val="36"/>
    </w:rPr>
  </w:style>
  <w:style w:type="paragraph" w:customStyle="1" w:styleId="Heading70">
    <w:name w:val="Heading #7"/>
    <w:basedOn w:val="Normal"/>
    <w:link w:val="Heading7"/>
    <w:pPr>
      <w:spacing w:line="230" w:lineRule="auto"/>
      <w:outlineLvl w:val="6"/>
    </w:pPr>
    <w:rPr>
      <w:rFonts w:ascii="Times New Roman" w:eastAsia="Times New Roman" w:hAnsi="Times New Roman" w:cs="Times New Roman"/>
      <w:sz w:val="28"/>
      <w:szCs w:val="28"/>
    </w:rPr>
  </w:style>
  <w:style w:type="paragraph" w:customStyle="1" w:styleId="Tablecaption0">
    <w:name w:val="Table caption"/>
    <w:basedOn w:val="Normal"/>
    <w:link w:val="Tablecaption"/>
    <w:pPr>
      <w:spacing w:line="290" w:lineRule="auto"/>
    </w:pPr>
    <w:rPr>
      <w:rFonts w:ascii="Times New Roman" w:eastAsia="Times New Roman" w:hAnsi="Times New Roman" w:cs="Times New Roman"/>
      <w:sz w:val="22"/>
      <w:szCs w:val="22"/>
    </w:rPr>
  </w:style>
  <w:style w:type="paragraph" w:customStyle="1" w:styleId="Heading20">
    <w:name w:val="Heading #2"/>
    <w:basedOn w:val="Normal"/>
    <w:link w:val="Heading2"/>
    <w:pPr>
      <w:spacing w:line="180" w:lineRule="auto"/>
      <w:ind w:firstLine="220"/>
      <w:outlineLvl w:val="1"/>
    </w:pPr>
    <w:rPr>
      <w:rFonts w:ascii="Times New Roman" w:eastAsia="Times New Roman" w:hAnsi="Times New Roman" w:cs="Times New Roman"/>
      <w:sz w:val="60"/>
      <w:szCs w:val="60"/>
    </w:rPr>
  </w:style>
  <w:style w:type="paragraph" w:customStyle="1" w:styleId="Bodytext60">
    <w:name w:val="Body text (6)"/>
    <w:basedOn w:val="Normal"/>
    <w:link w:val="Bodytext6"/>
    <w:pPr>
      <w:spacing w:line="355" w:lineRule="auto"/>
    </w:pPr>
    <w:rPr>
      <w:rFonts w:ascii="Arial" w:eastAsia="Arial" w:hAnsi="Arial" w:cs="Arial"/>
      <w:b/>
      <w:bCs/>
      <w:sz w:val="15"/>
      <w:szCs w:val="15"/>
    </w:rPr>
  </w:style>
  <w:style w:type="paragraph" w:customStyle="1" w:styleId="Bodytext70">
    <w:name w:val="Body text (7)"/>
    <w:basedOn w:val="Normal"/>
    <w:link w:val="Bodytext7"/>
    <w:pPr>
      <w:jc w:val="right"/>
    </w:pPr>
    <w:rPr>
      <w:rFonts w:ascii="Arial" w:eastAsia="Arial" w:hAnsi="Arial" w:cs="Arial"/>
      <w:b/>
      <w:bCs/>
      <w:sz w:val="17"/>
      <w:szCs w:val="17"/>
    </w:rPr>
  </w:style>
  <w:style w:type="paragraph" w:customStyle="1" w:styleId="Heading40">
    <w:name w:val="Heading #4"/>
    <w:basedOn w:val="Normal"/>
    <w:link w:val="Heading4"/>
    <w:pPr>
      <w:outlineLvl w:val="3"/>
    </w:pPr>
    <w:rPr>
      <w:rFonts w:ascii="Times New Roman" w:eastAsia="Times New Roman" w:hAnsi="Times New Roman" w:cs="Times New Roman"/>
      <w:b/>
      <w:bCs/>
      <w:w w:val="50"/>
      <w:sz w:val="34"/>
      <w:szCs w:val="34"/>
    </w:rPr>
  </w:style>
  <w:style w:type="paragraph" w:customStyle="1" w:styleId="Bodytext50">
    <w:name w:val="Body text (5)"/>
    <w:basedOn w:val="Normal"/>
    <w:link w:val="Bodytext5"/>
    <w:pPr>
      <w:spacing w:line="300" w:lineRule="auto"/>
      <w:ind w:left="1260" w:firstLine="580"/>
    </w:pPr>
    <w:rPr>
      <w:rFonts w:ascii="Times New Roman" w:eastAsia="Times New Roman" w:hAnsi="Times New Roman" w:cs="Times New Roman"/>
      <w:i/>
      <w:iCs/>
      <w:sz w:val="26"/>
      <w:szCs w:val="26"/>
    </w:rPr>
  </w:style>
  <w:style w:type="paragraph" w:customStyle="1" w:styleId="Bodytext80">
    <w:name w:val="Body text (8)"/>
    <w:basedOn w:val="Normal"/>
    <w:link w:val="Bodytext8"/>
    <w:pPr>
      <w:spacing w:line="264" w:lineRule="auto"/>
    </w:pPr>
    <w:rPr>
      <w:rFonts w:ascii="Arial" w:eastAsia="Arial" w:hAnsi="Arial" w:cs="Arial"/>
      <w:sz w:val="64"/>
      <w:szCs w:val="64"/>
    </w:rPr>
  </w:style>
  <w:style w:type="paragraph" w:customStyle="1" w:styleId="Heading50">
    <w:name w:val="Heading #5"/>
    <w:basedOn w:val="Normal"/>
    <w:link w:val="Heading5"/>
    <w:pPr>
      <w:jc w:val="center"/>
      <w:outlineLvl w:val="4"/>
    </w:pPr>
    <w:rPr>
      <w:rFonts w:ascii="Times New Roman" w:eastAsia="Times New Roman" w:hAnsi="Times New Roman" w:cs="Times New Roman"/>
      <w:sz w:val="30"/>
      <w:szCs w:val="30"/>
    </w:rPr>
  </w:style>
  <w:style w:type="paragraph" w:customStyle="1" w:styleId="Bodytext90">
    <w:name w:val="Body text (9)"/>
    <w:basedOn w:val="Normal"/>
    <w:link w:val="Bodytext9"/>
    <w:pPr>
      <w:jc w:val="right"/>
    </w:pPr>
    <w:rPr>
      <w:rFonts w:ascii="Arial" w:eastAsia="Arial" w:hAnsi="Arial" w:cs="Arial"/>
      <w:b/>
      <w:bCs/>
      <w:sz w:val="10"/>
      <w:szCs w:val="10"/>
    </w:rPr>
  </w:style>
  <w:style w:type="paragraph" w:customStyle="1" w:styleId="Heading10">
    <w:name w:val="Heading #1"/>
    <w:basedOn w:val="Normal"/>
    <w:link w:val="Heading1"/>
    <w:pPr>
      <w:jc w:val="center"/>
      <w:outlineLvl w:val="0"/>
    </w:pPr>
    <w:rPr>
      <w:rFonts w:ascii="Arial" w:eastAsia="Arial" w:hAnsi="Arial" w:cs="Arial"/>
      <w:sz w:val="76"/>
      <w:szCs w:val="76"/>
    </w:rPr>
  </w:style>
  <w:style w:type="paragraph" w:customStyle="1" w:styleId="Bodytext100">
    <w:name w:val="Body text (10)"/>
    <w:basedOn w:val="Normal"/>
    <w:link w:val="Bodytext10"/>
    <w:pPr>
      <w:jc w:val="right"/>
    </w:pPr>
    <w:rPr>
      <w:rFonts w:ascii="Arial" w:eastAsia="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6">
    <w:name w:val="Heading #6_"/>
    <w:basedOn w:val="DefaultParagraphFont"/>
    <w:link w:val="Heading6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6"/>
      <w:szCs w:val="16"/>
      <w:u w:val="none"/>
      <w:shd w:val="clear" w:color="auto" w:fill="auto"/>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Heading7">
    <w:name w:val="Heading #7_"/>
    <w:basedOn w:val="DefaultParagraphFont"/>
    <w:link w:val="Heading7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60"/>
      <w:szCs w:val="60"/>
      <w:u w:val="none"/>
      <w:shd w:val="clear" w:color="auto" w:fill="auto"/>
    </w:rPr>
  </w:style>
  <w:style w:type="character" w:customStyle="1" w:styleId="Bodytext6">
    <w:name w:val="Body text (6)_"/>
    <w:basedOn w:val="DefaultParagraphFont"/>
    <w:link w:val="Bodytext60"/>
    <w:rPr>
      <w:rFonts w:ascii="Arial" w:eastAsia="Arial" w:hAnsi="Arial" w:cs="Arial"/>
      <w:b/>
      <w:bCs/>
      <w:i w:val="0"/>
      <w:iCs w:val="0"/>
      <w:smallCaps w:val="0"/>
      <w:strike w:val="0"/>
      <w:sz w:val="15"/>
      <w:szCs w:val="15"/>
      <w:u w:val="none"/>
      <w:shd w:val="clear" w:color="auto" w:fill="auto"/>
    </w:rPr>
  </w:style>
  <w:style w:type="character" w:customStyle="1" w:styleId="Bodytext7">
    <w:name w:val="Body text (7)_"/>
    <w:basedOn w:val="DefaultParagraphFont"/>
    <w:link w:val="Bodytext70"/>
    <w:rPr>
      <w:rFonts w:ascii="Arial" w:eastAsia="Arial" w:hAnsi="Arial" w:cs="Arial"/>
      <w:b/>
      <w:bCs/>
      <w:i w:val="0"/>
      <w:iCs w:val="0"/>
      <w:smallCaps w:val="0"/>
      <w:strike w:val="0"/>
      <w:sz w:val="17"/>
      <w:szCs w:val="17"/>
      <w:u w:val="none"/>
      <w:shd w:val="clear" w:color="auto" w:fill="auto"/>
    </w:rPr>
  </w:style>
  <w:style w:type="character" w:customStyle="1" w:styleId="Heading4">
    <w:name w:val="Heading #4_"/>
    <w:basedOn w:val="DefaultParagraphFont"/>
    <w:link w:val="Heading40"/>
    <w:rPr>
      <w:rFonts w:ascii="Times New Roman" w:eastAsia="Times New Roman" w:hAnsi="Times New Roman" w:cs="Times New Roman"/>
      <w:b/>
      <w:bCs/>
      <w:i w:val="0"/>
      <w:iCs w:val="0"/>
      <w:smallCaps w:val="0"/>
      <w:strike w:val="0"/>
      <w:w w:val="50"/>
      <w:sz w:val="34"/>
      <w:szCs w:val="34"/>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Bodytext8">
    <w:name w:val="Body text (8)_"/>
    <w:basedOn w:val="DefaultParagraphFont"/>
    <w:link w:val="Bodytext80"/>
    <w:rPr>
      <w:rFonts w:ascii="Arial" w:eastAsia="Arial" w:hAnsi="Arial" w:cs="Arial"/>
      <w:b w:val="0"/>
      <w:bCs w:val="0"/>
      <w:i w:val="0"/>
      <w:iCs w:val="0"/>
      <w:smallCaps w:val="0"/>
      <w:strike w:val="0"/>
      <w:sz w:val="64"/>
      <w:szCs w:val="64"/>
      <w:u w:val="none"/>
      <w:shd w:val="clear" w:color="auto" w:fill="auto"/>
    </w:rPr>
  </w:style>
  <w:style w:type="character" w:customStyle="1" w:styleId="Heading5">
    <w:name w:val="Heading #5_"/>
    <w:basedOn w:val="DefaultParagraphFont"/>
    <w:link w:val="Heading50"/>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Bodytext9">
    <w:name w:val="Body text (9)_"/>
    <w:basedOn w:val="DefaultParagraphFont"/>
    <w:link w:val="Bodytext90"/>
    <w:rPr>
      <w:rFonts w:ascii="Arial" w:eastAsia="Arial" w:hAnsi="Arial" w:cs="Arial"/>
      <w:b/>
      <w:bCs/>
      <w:i w:val="0"/>
      <w:iCs w:val="0"/>
      <w:smallCaps w:val="0"/>
      <w:strike w:val="0"/>
      <w:sz w:val="10"/>
      <w:szCs w:val="10"/>
      <w:u w:val="none"/>
      <w:shd w:val="clear" w:color="auto" w:fill="auto"/>
    </w:rPr>
  </w:style>
  <w:style w:type="character" w:customStyle="1" w:styleId="Heading1">
    <w:name w:val="Heading #1_"/>
    <w:basedOn w:val="DefaultParagraphFont"/>
    <w:link w:val="Heading10"/>
    <w:rPr>
      <w:rFonts w:ascii="Arial" w:eastAsia="Arial" w:hAnsi="Arial" w:cs="Arial"/>
      <w:b w:val="0"/>
      <w:bCs w:val="0"/>
      <w:i w:val="0"/>
      <w:iCs w:val="0"/>
      <w:smallCaps w:val="0"/>
      <w:strike w:val="0"/>
      <w:sz w:val="76"/>
      <w:szCs w:val="76"/>
      <w:u w:val="none"/>
      <w:shd w:val="clear" w:color="auto" w:fill="auto"/>
    </w:rPr>
  </w:style>
  <w:style w:type="character" w:customStyle="1" w:styleId="Bodytext10">
    <w:name w:val="Body text (10)_"/>
    <w:basedOn w:val="DefaultParagraphFont"/>
    <w:link w:val="Bodytext100"/>
    <w:rPr>
      <w:rFonts w:ascii="Arial" w:eastAsia="Arial" w:hAnsi="Arial" w:cs="Arial"/>
      <w:b/>
      <w:bCs/>
      <w:i w:val="0"/>
      <w:iCs w:val="0"/>
      <w:smallCaps w:val="0"/>
      <w:strike w:val="0"/>
      <w:u w:val="none"/>
      <w:shd w:val="clear" w:color="auto" w:fill="auto"/>
    </w:rPr>
  </w:style>
  <w:style w:type="paragraph" w:customStyle="1" w:styleId="Footnote0">
    <w:name w:val="Footnote"/>
    <w:basedOn w:val="Normal"/>
    <w:link w:val="Footnote"/>
    <w:pPr>
      <w:spacing w:line="329" w:lineRule="auto"/>
      <w:ind w:left="860"/>
    </w:pPr>
    <w:rPr>
      <w:rFonts w:ascii="Times New Roman" w:eastAsia="Times New Roman" w:hAnsi="Times New Roman" w:cs="Times New Roman"/>
      <w:i/>
      <w:iCs/>
      <w:sz w:val="22"/>
      <w:szCs w:val="22"/>
    </w:rPr>
  </w:style>
  <w:style w:type="paragraph" w:styleId="BodyText">
    <w:name w:val="Body Text"/>
    <w:basedOn w:val="Normal"/>
    <w:link w:val="BodyTextChar"/>
    <w:qFormat/>
    <w:pPr>
      <w:spacing w:line="322" w:lineRule="auto"/>
    </w:pPr>
    <w:rPr>
      <w:rFonts w:ascii="Times New Roman" w:eastAsia="Times New Roman" w:hAnsi="Times New Roman" w:cs="Times New Roman"/>
      <w:sz w:val="22"/>
      <w:szCs w:val="22"/>
    </w:rPr>
  </w:style>
  <w:style w:type="paragraph" w:customStyle="1" w:styleId="Other0">
    <w:name w:val="Other"/>
    <w:basedOn w:val="Normal"/>
    <w:link w:val="Other"/>
    <w:pPr>
      <w:spacing w:line="322" w:lineRule="auto"/>
    </w:pPr>
    <w:rPr>
      <w:rFonts w:ascii="Times New Roman" w:eastAsia="Times New Roman" w:hAnsi="Times New Roman" w:cs="Times New Roman"/>
      <w:sz w:val="22"/>
      <w:szCs w:val="22"/>
    </w:rPr>
  </w:style>
  <w:style w:type="paragraph" w:customStyle="1" w:styleId="Heading60">
    <w:name w:val="Heading #6"/>
    <w:basedOn w:val="Normal"/>
    <w:link w:val="Heading6"/>
    <w:pPr>
      <w:spacing w:line="266" w:lineRule="auto"/>
      <w:jc w:val="center"/>
      <w:outlineLvl w:val="5"/>
    </w:pPr>
    <w:rPr>
      <w:rFonts w:ascii="Times New Roman" w:eastAsia="Times New Roman" w:hAnsi="Times New Roman" w:cs="Times New Roman"/>
      <w:b/>
      <w:bCs/>
      <w:sz w:val="26"/>
      <w:szCs w:val="26"/>
    </w:rPr>
  </w:style>
  <w:style w:type="paragraph" w:customStyle="1" w:styleId="Bodytext20">
    <w:name w:val="Body text (2)"/>
    <w:basedOn w:val="Normal"/>
    <w:link w:val="Bodytext2"/>
    <w:rPr>
      <w:rFonts w:ascii="Times New Roman" w:eastAsia="Times New Roman" w:hAnsi="Times New Roman" w:cs="Times New Roman"/>
      <w:b/>
      <w:bCs/>
      <w:sz w:val="16"/>
      <w:szCs w:val="16"/>
    </w:rPr>
  </w:style>
  <w:style w:type="paragraph" w:customStyle="1" w:styleId="Heading30">
    <w:name w:val="Heading #3"/>
    <w:basedOn w:val="Normal"/>
    <w:link w:val="Heading3"/>
    <w:pPr>
      <w:spacing w:line="180" w:lineRule="auto"/>
      <w:ind w:left="4000"/>
      <w:outlineLvl w:val="2"/>
    </w:pPr>
    <w:rPr>
      <w:rFonts w:ascii="Times New Roman" w:eastAsia="Times New Roman" w:hAnsi="Times New Roman" w:cs="Times New Roman"/>
      <w:b/>
      <w:bCs/>
      <w:sz w:val="36"/>
      <w:szCs w:val="36"/>
    </w:rPr>
  </w:style>
  <w:style w:type="paragraph" w:customStyle="1" w:styleId="Heading70">
    <w:name w:val="Heading #7"/>
    <w:basedOn w:val="Normal"/>
    <w:link w:val="Heading7"/>
    <w:pPr>
      <w:spacing w:line="230" w:lineRule="auto"/>
      <w:outlineLvl w:val="6"/>
    </w:pPr>
    <w:rPr>
      <w:rFonts w:ascii="Times New Roman" w:eastAsia="Times New Roman" w:hAnsi="Times New Roman" w:cs="Times New Roman"/>
      <w:sz w:val="28"/>
      <w:szCs w:val="28"/>
    </w:rPr>
  </w:style>
  <w:style w:type="paragraph" w:customStyle="1" w:styleId="Tablecaption0">
    <w:name w:val="Table caption"/>
    <w:basedOn w:val="Normal"/>
    <w:link w:val="Tablecaption"/>
    <w:pPr>
      <w:spacing w:line="290" w:lineRule="auto"/>
    </w:pPr>
    <w:rPr>
      <w:rFonts w:ascii="Times New Roman" w:eastAsia="Times New Roman" w:hAnsi="Times New Roman" w:cs="Times New Roman"/>
      <w:sz w:val="22"/>
      <w:szCs w:val="22"/>
    </w:rPr>
  </w:style>
  <w:style w:type="paragraph" w:customStyle="1" w:styleId="Heading20">
    <w:name w:val="Heading #2"/>
    <w:basedOn w:val="Normal"/>
    <w:link w:val="Heading2"/>
    <w:pPr>
      <w:spacing w:line="180" w:lineRule="auto"/>
      <w:ind w:firstLine="220"/>
      <w:outlineLvl w:val="1"/>
    </w:pPr>
    <w:rPr>
      <w:rFonts w:ascii="Times New Roman" w:eastAsia="Times New Roman" w:hAnsi="Times New Roman" w:cs="Times New Roman"/>
      <w:sz w:val="60"/>
      <w:szCs w:val="60"/>
    </w:rPr>
  </w:style>
  <w:style w:type="paragraph" w:customStyle="1" w:styleId="Bodytext60">
    <w:name w:val="Body text (6)"/>
    <w:basedOn w:val="Normal"/>
    <w:link w:val="Bodytext6"/>
    <w:pPr>
      <w:spacing w:line="355" w:lineRule="auto"/>
    </w:pPr>
    <w:rPr>
      <w:rFonts w:ascii="Arial" w:eastAsia="Arial" w:hAnsi="Arial" w:cs="Arial"/>
      <w:b/>
      <w:bCs/>
      <w:sz w:val="15"/>
      <w:szCs w:val="15"/>
    </w:rPr>
  </w:style>
  <w:style w:type="paragraph" w:customStyle="1" w:styleId="Bodytext70">
    <w:name w:val="Body text (7)"/>
    <w:basedOn w:val="Normal"/>
    <w:link w:val="Bodytext7"/>
    <w:pPr>
      <w:jc w:val="right"/>
    </w:pPr>
    <w:rPr>
      <w:rFonts w:ascii="Arial" w:eastAsia="Arial" w:hAnsi="Arial" w:cs="Arial"/>
      <w:b/>
      <w:bCs/>
      <w:sz w:val="17"/>
      <w:szCs w:val="17"/>
    </w:rPr>
  </w:style>
  <w:style w:type="paragraph" w:customStyle="1" w:styleId="Heading40">
    <w:name w:val="Heading #4"/>
    <w:basedOn w:val="Normal"/>
    <w:link w:val="Heading4"/>
    <w:pPr>
      <w:outlineLvl w:val="3"/>
    </w:pPr>
    <w:rPr>
      <w:rFonts w:ascii="Times New Roman" w:eastAsia="Times New Roman" w:hAnsi="Times New Roman" w:cs="Times New Roman"/>
      <w:b/>
      <w:bCs/>
      <w:w w:val="50"/>
      <w:sz w:val="34"/>
      <w:szCs w:val="34"/>
    </w:rPr>
  </w:style>
  <w:style w:type="paragraph" w:customStyle="1" w:styleId="Bodytext50">
    <w:name w:val="Body text (5)"/>
    <w:basedOn w:val="Normal"/>
    <w:link w:val="Bodytext5"/>
    <w:pPr>
      <w:spacing w:line="300" w:lineRule="auto"/>
      <w:ind w:left="1260" w:firstLine="580"/>
    </w:pPr>
    <w:rPr>
      <w:rFonts w:ascii="Times New Roman" w:eastAsia="Times New Roman" w:hAnsi="Times New Roman" w:cs="Times New Roman"/>
      <w:i/>
      <w:iCs/>
      <w:sz w:val="26"/>
      <w:szCs w:val="26"/>
    </w:rPr>
  </w:style>
  <w:style w:type="paragraph" w:customStyle="1" w:styleId="Bodytext80">
    <w:name w:val="Body text (8)"/>
    <w:basedOn w:val="Normal"/>
    <w:link w:val="Bodytext8"/>
    <w:pPr>
      <w:spacing w:line="264" w:lineRule="auto"/>
    </w:pPr>
    <w:rPr>
      <w:rFonts w:ascii="Arial" w:eastAsia="Arial" w:hAnsi="Arial" w:cs="Arial"/>
      <w:sz w:val="64"/>
      <w:szCs w:val="64"/>
    </w:rPr>
  </w:style>
  <w:style w:type="paragraph" w:customStyle="1" w:styleId="Heading50">
    <w:name w:val="Heading #5"/>
    <w:basedOn w:val="Normal"/>
    <w:link w:val="Heading5"/>
    <w:pPr>
      <w:jc w:val="center"/>
      <w:outlineLvl w:val="4"/>
    </w:pPr>
    <w:rPr>
      <w:rFonts w:ascii="Times New Roman" w:eastAsia="Times New Roman" w:hAnsi="Times New Roman" w:cs="Times New Roman"/>
      <w:sz w:val="30"/>
      <w:szCs w:val="30"/>
    </w:rPr>
  </w:style>
  <w:style w:type="paragraph" w:customStyle="1" w:styleId="Bodytext90">
    <w:name w:val="Body text (9)"/>
    <w:basedOn w:val="Normal"/>
    <w:link w:val="Bodytext9"/>
    <w:pPr>
      <w:jc w:val="right"/>
    </w:pPr>
    <w:rPr>
      <w:rFonts w:ascii="Arial" w:eastAsia="Arial" w:hAnsi="Arial" w:cs="Arial"/>
      <w:b/>
      <w:bCs/>
      <w:sz w:val="10"/>
      <w:szCs w:val="10"/>
    </w:rPr>
  </w:style>
  <w:style w:type="paragraph" w:customStyle="1" w:styleId="Heading10">
    <w:name w:val="Heading #1"/>
    <w:basedOn w:val="Normal"/>
    <w:link w:val="Heading1"/>
    <w:pPr>
      <w:jc w:val="center"/>
      <w:outlineLvl w:val="0"/>
    </w:pPr>
    <w:rPr>
      <w:rFonts w:ascii="Arial" w:eastAsia="Arial" w:hAnsi="Arial" w:cs="Arial"/>
      <w:sz w:val="76"/>
      <w:szCs w:val="76"/>
    </w:rPr>
  </w:style>
  <w:style w:type="paragraph" w:customStyle="1" w:styleId="Bodytext100">
    <w:name w:val="Body text (10)"/>
    <w:basedOn w:val="Normal"/>
    <w:link w:val="Bodytext10"/>
    <w:pPr>
      <w:jc w:val="right"/>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526</Words>
  <Characters>2819</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9</cp:revision>
  <dcterms:created xsi:type="dcterms:W3CDTF">2024-01-29T04:34:00Z</dcterms:created>
  <dcterms:modified xsi:type="dcterms:W3CDTF">2024-01-30T07:07:00Z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1abfbfec5fce6a7db7a3c68690b59ac5bfc5208d1c9dad45e8ee04649229e745</vt:lpwstr>
  </property>
</Properties>
</file>