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00000001" w14:textId="36EB8F7B" w:rsidR="00C26FC2" w:rsidRPr="009044AC" w:rsidRDefault="009B67A8" w:rsidP="006D639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b/>
          <w:color w:val="010000"/>
          <w:sz w:val="20"/>
          <w:szCs w:val="20"/>
        </w:rPr>
      </w:pPr>
      <w:bookmarkStart w:id="0" w:name="_GoBack"/>
      <w:r w:rsidRPr="009044AC">
        <w:rPr>
          <w:rFonts w:ascii="Arial" w:hAnsi="Arial" w:cs="Arial"/>
          <w:b/>
          <w:color w:val="010000"/>
          <w:sz w:val="20"/>
        </w:rPr>
        <w:t>VC1: Board Decision</w:t>
      </w:r>
    </w:p>
    <w:p w14:paraId="00000002" w14:textId="1152467B" w:rsidR="00C26FC2" w:rsidRPr="009044AC" w:rsidRDefault="009B67A8" w:rsidP="006D639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On January 24, 2024, Construction JSC No 1 announced Resolution No. 0101/2024/QD-HDQT on organizing the Annual General Meeting of Shareholders 2024 as follows:</w:t>
      </w:r>
    </w:p>
    <w:p w14:paraId="00000003" w14:textId="2810EB69" w:rsidR="00C26FC2" w:rsidRPr="009044AC" w:rsidRDefault="009B67A8" w:rsidP="006D639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‎‎Article 1. Approve the organization plan of the Annual General Meeting of Shareholders 2024 of Construction JSC No 1 as follows:</w:t>
      </w:r>
    </w:p>
    <w:p w14:paraId="00000004" w14:textId="77777777" w:rsidR="00C26FC2" w:rsidRPr="009044AC" w:rsidRDefault="009B67A8" w:rsidP="006D6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5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Expected time: 8.00 a.m., April 03, 2024 (Wednesday)</w:t>
      </w:r>
    </w:p>
    <w:p w14:paraId="00000005" w14:textId="728D655B" w:rsidR="00C26FC2" w:rsidRPr="009044AC" w:rsidRDefault="009B67A8" w:rsidP="006D6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529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 xml:space="preserve">Meeting venue: 3rd-floor Meeting Hall, C1 Building - </w:t>
      </w:r>
      <w:proofErr w:type="spellStart"/>
      <w:r w:rsidRPr="009044AC">
        <w:rPr>
          <w:rFonts w:ascii="Arial" w:hAnsi="Arial" w:cs="Arial"/>
          <w:color w:val="010000"/>
          <w:sz w:val="20"/>
        </w:rPr>
        <w:t>Vinaconex</w:t>
      </w:r>
      <w:proofErr w:type="spellEnd"/>
      <w:r w:rsidRPr="009044AC">
        <w:rPr>
          <w:rFonts w:ascii="Arial" w:hAnsi="Arial" w:cs="Arial"/>
          <w:color w:val="010000"/>
          <w:sz w:val="20"/>
        </w:rPr>
        <w:t xml:space="preserve"> 1 Apartment, No. 289 </w:t>
      </w:r>
      <w:proofErr w:type="spellStart"/>
      <w:r w:rsidRPr="009044AC">
        <w:rPr>
          <w:rFonts w:ascii="Arial" w:hAnsi="Arial" w:cs="Arial"/>
          <w:color w:val="010000"/>
          <w:sz w:val="20"/>
        </w:rPr>
        <w:t>Khuat</w:t>
      </w:r>
      <w:proofErr w:type="spellEnd"/>
      <w:r w:rsidRPr="009044AC">
        <w:rPr>
          <w:rFonts w:ascii="Arial" w:hAnsi="Arial" w:cs="Arial"/>
          <w:color w:val="010000"/>
          <w:sz w:val="20"/>
        </w:rPr>
        <w:t xml:space="preserve"> Duy Tien Street, </w:t>
      </w:r>
      <w:proofErr w:type="spellStart"/>
      <w:r w:rsidRPr="009044AC">
        <w:rPr>
          <w:rFonts w:ascii="Arial" w:hAnsi="Arial" w:cs="Arial"/>
          <w:color w:val="010000"/>
          <w:sz w:val="20"/>
        </w:rPr>
        <w:t>Trung</w:t>
      </w:r>
      <w:proofErr w:type="spellEnd"/>
      <w:r w:rsidRPr="009044A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9044AC">
        <w:rPr>
          <w:rFonts w:ascii="Arial" w:hAnsi="Arial" w:cs="Arial"/>
          <w:color w:val="010000"/>
          <w:sz w:val="20"/>
        </w:rPr>
        <w:t>Hoa</w:t>
      </w:r>
      <w:proofErr w:type="spellEnd"/>
      <w:r w:rsidRPr="009044AC">
        <w:rPr>
          <w:rFonts w:ascii="Arial" w:hAnsi="Arial" w:cs="Arial"/>
          <w:color w:val="010000"/>
          <w:sz w:val="20"/>
        </w:rPr>
        <w:t xml:space="preserve"> Ward, </w:t>
      </w:r>
      <w:proofErr w:type="spellStart"/>
      <w:r w:rsidRPr="009044AC">
        <w:rPr>
          <w:rFonts w:ascii="Arial" w:hAnsi="Arial" w:cs="Arial"/>
          <w:color w:val="010000"/>
          <w:sz w:val="20"/>
        </w:rPr>
        <w:t>Cau</w:t>
      </w:r>
      <w:proofErr w:type="spellEnd"/>
      <w:r w:rsidRPr="009044AC">
        <w:rPr>
          <w:rFonts w:ascii="Arial" w:hAnsi="Arial" w:cs="Arial"/>
          <w:color w:val="010000"/>
          <w:sz w:val="20"/>
        </w:rPr>
        <w:t xml:space="preserve"> </w:t>
      </w:r>
      <w:proofErr w:type="spellStart"/>
      <w:r w:rsidRPr="009044AC">
        <w:rPr>
          <w:rFonts w:ascii="Arial" w:hAnsi="Arial" w:cs="Arial"/>
          <w:color w:val="010000"/>
          <w:sz w:val="20"/>
        </w:rPr>
        <w:t>Giay</w:t>
      </w:r>
      <w:proofErr w:type="spellEnd"/>
      <w:r w:rsidRPr="009044AC">
        <w:rPr>
          <w:rFonts w:ascii="Arial" w:hAnsi="Arial" w:cs="Arial"/>
          <w:color w:val="010000"/>
          <w:sz w:val="20"/>
        </w:rPr>
        <w:t xml:space="preserve"> District, Hanoi.</w:t>
      </w:r>
    </w:p>
    <w:p w14:paraId="00000006" w14:textId="59A62C4E" w:rsidR="00C26FC2" w:rsidRPr="009044AC" w:rsidRDefault="009B67A8" w:rsidP="006D6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52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Record date: March 01, 2024.</w:t>
      </w:r>
    </w:p>
    <w:p w14:paraId="00000007" w14:textId="7732DEFB" w:rsidR="00C26FC2" w:rsidRPr="009044AC" w:rsidRDefault="009B67A8" w:rsidP="006D6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53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Date of disclosing information on making the list of shareholders having the rights to attend the meeting: January 24, 2024.</w:t>
      </w:r>
    </w:p>
    <w:p w14:paraId="00000008" w14:textId="52AE547B" w:rsidR="00C26FC2" w:rsidRPr="009044AC" w:rsidRDefault="009B67A8" w:rsidP="006D6396">
      <w:pPr>
        <w:numPr>
          <w:ilvl w:val="0"/>
          <w:numId w:val="2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514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Detailed contents of the Annual General Meeting of Shareholders 2024:</w:t>
      </w:r>
    </w:p>
    <w:p w14:paraId="00000009" w14:textId="65C71A34" w:rsidR="00C26FC2" w:rsidRPr="009044AC" w:rsidRDefault="009B67A8" w:rsidP="006D63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8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Report of the Executive Board on the production and business results in 2023 and the production and business plan for 2024;</w:t>
      </w:r>
    </w:p>
    <w:p w14:paraId="0000000A" w14:textId="42EE6964" w:rsidR="00C26FC2" w:rsidRPr="009044AC" w:rsidRDefault="009B67A8" w:rsidP="006D63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8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Proposal of the Board of Directors on approving the Audited Financial Statements 2023;</w:t>
      </w:r>
    </w:p>
    <w:p w14:paraId="0000000B" w14:textId="5788F42D" w:rsidR="00C26FC2" w:rsidRPr="009044AC" w:rsidRDefault="009B67A8" w:rsidP="006D63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8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Report of the Board of Directors on operational management in 2023, operating results for the 2019 - 2024 term and operating orientation for the 2024 - 2029 term;</w:t>
      </w:r>
    </w:p>
    <w:p w14:paraId="0000000C" w14:textId="35775A4E" w:rsidR="00C26FC2" w:rsidRPr="009044AC" w:rsidRDefault="009B67A8" w:rsidP="006D63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8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 xml:space="preserve">Report of the Supervisory Board in 2023 and report at the end of </w:t>
      </w:r>
      <w:r w:rsidR="00866C73">
        <w:rPr>
          <w:rFonts w:ascii="Arial" w:hAnsi="Arial" w:cs="Arial"/>
          <w:color w:val="010000"/>
          <w:sz w:val="20"/>
        </w:rPr>
        <w:t xml:space="preserve">the </w:t>
      </w:r>
      <w:r w:rsidRPr="009044AC">
        <w:rPr>
          <w:rFonts w:ascii="Arial" w:hAnsi="Arial" w:cs="Arial"/>
          <w:color w:val="010000"/>
          <w:sz w:val="20"/>
        </w:rPr>
        <w:t>term at the General Meeting of Shareholders;</w:t>
      </w:r>
    </w:p>
    <w:p w14:paraId="0000000D" w14:textId="40F04C99" w:rsidR="00C26FC2" w:rsidRPr="009044AC" w:rsidRDefault="009B67A8" w:rsidP="006D6396">
      <w:pPr>
        <w:numPr>
          <w:ilvl w:val="0"/>
          <w:numId w:val="3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289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Proposal of the Supervisory Board on the selection of an independent audit company to audit the Company’s Financial Statements 2024;</w:t>
      </w:r>
    </w:p>
    <w:p w14:paraId="0000000E" w14:textId="6294F4DA" w:rsidR="00C26FC2" w:rsidRPr="009044AC" w:rsidRDefault="009B67A8" w:rsidP="006D6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Proposal of the Board of Directors on approving the profit distribution plan in 2023 and the profit distribution plan for 2024;</w:t>
      </w:r>
    </w:p>
    <w:p w14:paraId="0000000F" w14:textId="03C921D5" w:rsidR="00C26FC2" w:rsidRPr="009044AC" w:rsidRDefault="009B67A8" w:rsidP="006D6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Proposal of the Board of Directors on approving the remuneration plan for the Board of Directors and the Supervisory Board in 2023 and the plan for 2024;</w:t>
      </w:r>
    </w:p>
    <w:p w14:paraId="00000010" w14:textId="56E68CBE" w:rsidR="00C26FC2" w:rsidRPr="009044AC" w:rsidRDefault="009B67A8" w:rsidP="006D6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Elect the Board of Directors and the Supervisory Board for the 2024-2029 term;</w:t>
      </w:r>
    </w:p>
    <w:p w14:paraId="00000011" w14:textId="0B5A0263" w:rsidR="00C26FC2" w:rsidRPr="009044AC" w:rsidRDefault="009B67A8" w:rsidP="006D6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 xml:space="preserve">Proposal on approving the policy on transaction with Vietnam Construction </w:t>
      </w:r>
      <w:proofErr w:type="gramStart"/>
      <w:r w:rsidRPr="009044AC">
        <w:rPr>
          <w:rFonts w:ascii="Arial" w:hAnsi="Arial" w:cs="Arial"/>
          <w:color w:val="010000"/>
          <w:sz w:val="20"/>
        </w:rPr>
        <w:t>And</w:t>
      </w:r>
      <w:proofErr w:type="gramEnd"/>
      <w:r w:rsidRPr="009044AC">
        <w:rPr>
          <w:rFonts w:ascii="Arial" w:hAnsi="Arial" w:cs="Arial"/>
          <w:color w:val="010000"/>
          <w:sz w:val="20"/>
        </w:rPr>
        <w:t xml:space="preserve"> Import-Export Joint Stock Corporation and/or company members under </w:t>
      </w:r>
      <w:proofErr w:type="spellStart"/>
      <w:r w:rsidRPr="009044AC">
        <w:rPr>
          <w:rFonts w:ascii="Arial" w:hAnsi="Arial" w:cs="Arial"/>
          <w:color w:val="010000"/>
          <w:sz w:val="20"/>
        </w:rPr>
        <w:t>Vinaconex</w:t>
      </w:r>
      <w:proofErr w:type="spellEnd"/>
      <w:r w:rsidRPr="009044AC">
        <w:rPr>
          <w:rFonts w:ascii="Arial" w:hAnsi="Arial" w:cs="Arial"/>
          <w:color w:val="010000"/>
          <w:sz w:val="20"/>
        </w:rPr>
        <w:t>;</w:t>
      </w:r>
    </w:p>
    <w:p w14:paraId="00000012" w14:textId="77777777" w:rsidR="00C26FC2" w:rsidRPr="009044AC" w:rsidRDefault="009B67A8" w:rsidP="006D6396">
      <w:pPr>
        <w:numPr>
          <w:ilvl w:val="0"/>
          <w:numId w:val="1"/>
        </w:num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1686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Other contents (if any).</w:t>
      </w:r>
    </w:p>
    <w:p w14:paraId="00000013" w14:textId="601453F8" w:rsidR="00C26FC2" w:rsidRPr="009044AC" w:rsidRDefault="009B67A8" w:rsidP="006D63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‎‎Article 2. Organization and Implementation</w:t>
      </w:r>
    </w:p>
    <w:p w14:paraId="00000014" w14:textId="62F96A6E" w:rsidR="00C26FC2" w:rsidRPr="009044AC" w:rsidRDefault="009B67A8" w:rsidP="006D639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 xml:space="preserve">Assign the General Manager </w:t>
      </w:r>
      <w:r w:rsidR="00866C73">
        <w:rPr>
          <w:rFonts w:ascii="Arial" w:hAnsi="Arial" w:cs="Arial"/>
          <w:color w:val="010000"/>
          <w:sz w:val="20"/>
        </w:rPr>
        <w:t>to d</w:t>
      </w:r>
      <w:r w:rsidRPr="009044AC">
        <w:rPr>
          <w:rFonts w:ascii="Arial" w:hAnsi="Arial" w:cs="Arial"/>
          <w:color w:val="010000"/>
          <w:sz w:val="20"/>
        </w:rPr>
        <w:t xml:space="preserve">irect professional departments to develop plans, prepare and organize </w:t>
      </w:r>
      <w:r w:rsidR="00866C73">
        <w:rPr>
          <w:rFonts w:ascii="Arial" w:hAnsi="Arial" w:cs="Arial"/>
          <w:color w:val="010000"/>
          <w:sz w:val="20"/>
        </w:rPr>
        <w:t xml:space="preserve">the </w:t>
      </w:r>
      <w:r w:rsidRPr="009044AC">
        <w:rPr>
          <w:rFonts w:ascii="Arial" w:hAnsi="Arial" w:cs="Arial"/>
          <w:color w:val="010000"/>
          <w:sz w:val="20"/>
        </w:rPr>
        <w:t>Annual General Meeting of Shareholders 2024 according to the approved contents in Article 1, ensuring compliance with current legal regulations and the Company’s regulations.</w:t>
      </w:r>
    </w:p>
    <w:p w14:paraId="00000015" w14:textId="18A73542" w:rsidR="00C26FC2" w:rsidRPr="009044AC" w:rsidRDefault="009B67A8" w:rsidP="006D6396">
      <w:pPr>
        <w:keepNext/>
        <w:pBdr>
          <w:top w:val="nil"/>
          <w:left w:val="nil"/>
          <w:bottom w:val="nil"/>
          <w:right w:val="nil"/>
          <w:between w:val="nil"/>
        </w:pBdr>
        <w:tabs>
          <w:tab w:val="left" w:pos="540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lastRenderedPageBreak/>
        <w:t>‎‎Article 3. Terms of enforcement</w:t>
      </w:r>
    </w:p>
    <w:p w14:paraId="5CE7F2CB" w14:textId="77777777" w:rsidR="009044AC" w:rsidRPr="009044AC" w:rsidRDefault="009B67A8" w:rsidP="006D639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572"/>
        </w:tabs>
        <w:spacing w:after="120" w:line="360" w:lineRule="auto"/>
        <w:jc w:val="both"/>
        <w:rPr>
          <w:rFonts w:ascii="Arial" w:hAnsi="Arial" w:cs="Arial"/>
          <w:color w:val="010000"/>
          <w:sz w:val="20"/>
        </w:rPr>
      </w:pPr>
      <w:r w:rsidRPr="009044AC">
        <w:rPr>
          <w:rFonts w:ascii="Arial" w:hAnsi="Arial" w:cs="Arial"/>
          <w:color w:val="010000"/>
          <w:sz w:val="20"/>
        </w:rPr>
        <w:t>This Resolution takes effect from the date of its signing.</w:t>
      </w:r>
    </w:p>
    <w:p w14:paraId="00000017" w14:textId="495A4577" w:rsidR="00C26FC2" w:rsidRPr="009044AC" w:rsidRDefault="009B67A8" w:rsidP="006D6396">
      <w:pPr>
        <w:pBdr>
          <w:top w:val="nil"/>
          <w:left w:val="nil"/>
          <w:bottom w:val="nil"/>
          <w:right w:val="nil"/>
          <w:between w:val="nil"/>
        </w:pBdr>
        <w:tabs>
          <w:tab w:val="left" w:pos="540"/>
          <w:tab w:val="left" w:pos="9572"/>
        </w:tabs>
        <w:spacing w:after="120" w:line="360" w:lineRule="auto"/>
        <w:jc w:val="both"/>
        <w:rPr>
          <w:rFonts w:ascii="Arial" w:eastAsia="Arial" w:hAnsi="Arial" w:cs="Arial"/>
          <w:color w:val="010000"/>
          <w:sz w:val="20"/>
          <w:szCs w:val="20"/>
        </w:rPr>
      </w:pPr>
      <w:r w:rsidRPr="009044AC">
        <w:rPr>
          <w:rFonts w:ascii="Arial" w:hAnsi="Arial" w:cs="Arial"/>
          <w:color w:val="010000"/>
          <w:sz w:val="20"/>
        </w:rPr>
        <w:t>Members of the Board of Directors, the General Manager, the Deputy General Manager, the Chief Accountant, and relevant departments are responsible for implementing this Resolution.</w:t>
      </w:r>
      <w:bookmarkEnd w:id="0"/>
    </w:p>
    <w:sectPr w:rsidR="00C26FC2" w:rsidRPr="009044AC" w:rsidSect="00D1468B">
      <w:pgSz w:w="11907" w:h="16839"/>
      <w:pgMar w:top="1440" w:right="1440" w:bottom="1440" w:left="1440" w:header="0" w:footer="3" w:gutter="0"/>
      <w:pgNumType w:start="1"/>
      <w:cols w:space="720"/>
      <w:docGrid w:linePitch="326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Georgia">
    <w:panose1 w:val="02040502050405020303"/>
    <w:charset w:val="00"/>
    <w:family w:val="roman"/>
    <w:pitch w:val="variable"/>
    <w:sig w:usb0="00000287" w:usb1="00000000" w:usb2="00000000" w:usb3="00000000" w:csb0="0000009F" w:csb1="00000000"/>
  </w:font>
  <w:font w:name="Yu Gothic Light">
    <w:altName w:val="游ゴシック Light"/>
    <w:panose1 w:val="020B0300000000000000"/>
    <w:charset w:val="80"/>
    <w:family w:val="swiss"/>
    <w:pitch w:val="variable"/>
    <w:sig w:usb0="E00002FF" w:usb1="2AC7FDFF" w:usb2="00000016" w:usb3="00000000" w:csb0="0002009F" w:csb1="00000000"/>
  </w:font>
  <w:font w:name="Yu Mincho">
    <w:altName w:val="游明朝"/>
    <w:charset w:val="80"/>
    <w:family w:val="roman"/>
    <w:pitch w:val="variable"/>
    <w:sig w:usb0="800002E7" w:usb1="2AC7FCFF" w:usb2="00000012" w:usb3="00000000" w:csb0="000200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0BF6BED"/>
    <w:multiLevelType w:val="multilevel"/>
    <w:tmpl w:val="5ECE9088"/>
    <w:lvl w:ilvl="0">
      <w:start w:val="1"/>
      <w:numFmt w:val="bullet"/>
      <w:lvlText w:val="&gt;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1" w15:restartNumberingAfterBreak="0">
    <w:nsid w:val="233D1B7C"/>
    <w:multiLevelType w:val="multilevel"/>
    <w:tmpl w:val="404E6DA8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abstractNum w:abstractNumId="2" w15:restartNumberingAfterBreak="0">
    <w:nsid w:val="4C5112DC"/>
    <w:multiLevelType w:val="multilevel"/>
    <w:tmpl w:val="541C133C"/>
    <w:lvl w:ilvl="0">
      <w:start w:val="1"/>
      <w:numFmt w:val="bullet"/>
      <w:lvlText w:val="•"/>
      <w:lvlJc w:val="left"/>
      <w:pPr>
        <w:ind w:left="0" w:firstLine="0"/>
      </w:pPr>
      <w:rPr>
        <w:rFonts w:ascii="Arial" w:eastAsia="Arial" w:hAnsi="Arial" w:cs="Arial"/>
        <w:b w:val="0"/>
        <w:i w:val="0"/>
        <w:smallCaps w:val="0"/>
        <w:strike w:val="0"/>
        <w:color w:val="000000"/>
        <w:sz w:val="20"/>
        <w:szCs w:val="20"/>
        <w:u w:val="none"/>
        <w:shd w:val="clear" w:color="auto" w:fill="auto"/>
        <w:vertAlign w:val="baseline"/>
      </w:rPr>
    </w:lvl>
    <w:lvl w:ilvl="1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2">
      <w:numFmt w:val="decimal"/>
      <w:lvlText w:val=""/>
      <w:lvlJc w:val="left"/>
      <w:pPr>
        <w:ind w:left="0" w:firstLine="0"/>
      </w:pPr>
      <w:rPr>
        <w:rFonts w:ascii="Arial" w:eastAsia="Arial" w:hAnsi="Arial" w:cs="Arial"/>
        <w:b w:val="0"/>
        <w:i w:val="0"/>
        <w:sz w:val="20"/>
        <w:szCs w:val="20"/>
      </w:rPr>
    </w:lvl>
    <w:lvl w:ilvl="3">
      <w:numFmt w:val="decimal"/>
      <w:lvlText w:val=""/>
      <w:lvlJc w:val="left"/>
      <w:pPr>
        <w:ind w:left="0" w:firstLine="0"/>
      </w:pPr>
    </w:lvl>
    <w:lvl w:ilvl="4">
      <w:numFmt w:val="decimal"/>
      <w:lvlText w:val=""/>
      <w:lvlJc w:val="left"/>
      <w:pPr>
        <w:ind w:left="0" w:firstLine="0"/>
      </w:pPr>
    </w:lvl>
    <w:lvl w:ilvl="5">
      <w:numFmt w:val="decimal"/>
      <w:lvlText w:val=""/>
      <w:lvlJc w:val="left"/>
      <w:pPr>
        <w:ind w:left="0" w:firstLine="0"/>
      </w:pPr>
    </w:lvl>
    <w:lvl w:ilvl="6">
      <w:numFmt w:val="decimal"/>
      <w:lvlText w:val=""/>
      <w:lvlJc w:val="left"/>
      <w:pPr>
        <w:ind w:left="0" w:firstLine="0"/>
      </w:pPr>
    </w:lvl>
    <w:lvl w:ilvl="7">
      <w:numFmt w:val="decimal"/>
      <w:lvlText w:val=""/>
      <w:lvlJc w:val="left"/>
      <w:pPr>
        <w:ind w:left="0" w:firstLine="0"/>
      </w:pPr>
    </w:lvl>
    <w:lvl w:ilvl="8">
      <w:numFmt w:val="decimal"/>
      <w:lvlText w:val=""/>
      <w:lvlJc w:val="left"/>
      <w:pPr>
        <w:ind w:left="0" w:firstLine="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26FC2"/>
    <w:rsid w:val="006D6396"/>
    <w:rsid w:val="00866C73"/>
    <w:rsid w:val="009044AC"/>
    <w:rsid w:val="009B67A8"/>
    <w:rsid w:val="00C26FC2"/>
    <w:rsid w:val="00D1468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vi-VN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."/>
  <w:listSeparator w:val=","/>
  <w14:docId w14:val="3B5FAB82"/>
  <w15:docId w15:val="{F7221A2A-C2E4-4908-9D10-549BACBBA2F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Courier New" w:eastAsia="Courier New" w:hAnsi="Courier New" w:cs="Courier New"/>
        <w:sz w:val="24"/>
        <w:szCs w:val="24"/>
        <w:lang w:val="en-US" w:eastAsia="ja-JP" w:bidi="ar-SA"/>
      </w:rPr>
    </w:rPrDefault>
    <w:pPrDefault>
      <w:pPr>
        <w:widowControl w:val="0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color w:val="000000"/>
    </w:rPr>
  </w:style>
  <w:style w:type="paragraph" w:styleId="Heading1">
    <w:name w:val="heading 1"/>
    <w:basedOn w:val="Normal"/>
    <w:next w:val="Normal"/>
    <w:uiPriority w:val="9"/>
    <w:qFormat/>
    <w:pPr>
      <w:keepNext/>
      <w:keepLines/>
      <w:spacing w:before="480" w:after="120"/>
      <w:outlineLvl w:val="0"/>
    </w:pPr>
    <w:rPr>
      <w:b/>
      <w:sz w:val="48"/>
      <w:szCs w:val="48"/>
    </w:rPr>
  </w:style>
  <w:style w:type="paragraph" w:styleId="Heading2">
    <w:name w:val="heading 2"/>
    <w:basedOn w:val="Normal"/>
    <w:next w:val="Normal"/>
    <w:uiPriority w:val="9"/>
    <w:semiHidden/>
    <w:unhideWhenUsed/>
    <w:qFormat/>
    <w:pPr>
      <w:keepNext/>
      <w:keepLines/>
      <w:spacing w:before="360" w:after="80"/>
      <w:outlineLvl w:val="1"/>
    </w:pPr>
    <w:rPr>
      <w:b/>
      <w:sz w:val="36"/>
      <w:szCs w:val="36"/>
    </w:rPr>
  </w:style>
  <w:style w:type="paragraph" w:styleId="Heading3">
    <w:name w:val="heading 3"/>
    <w:basedOn w:val="Normal"/>
    <w:next w:val="Normal"/>
    <w:uiPriority w:val="9"/>
    <w:semiHidden/>
    <w:unhideWhenUsed/>
    <w:qFormat/>
    <w:pPr>
      <w:keepNext/>
      <w:keepLines/>
      <w:spacing w:before="280" w:after="80"/>
      <w:outlineLvl w:val="2"/>
    </w:pPr>
    <w:rPr>
      <w:b/>
      <w:sz w:val="28"/>
      <w:szCs w:val="28"/>
    </w:rPr>
  </w:style>
  <w:style w:type="paragraph" w:styleId="Heading4">
    <w:name w:val="heading 4"/>
    <w:basedOn w:val="Normal"/>
    <w:next w:val="Normal"/>
    <w:uiPriority w:val="9"/>
    <w:semiHidden/>
    <w:unhideWhenUsed/>
    <w:qFormat/>
    <w:pPr>
      <w:keepNext/>
      <w:keepLines/>
      <w:spacing w:before="240" w:after="40"/>
      <w:outlineLvl w:val="3"/>
    </w:pPr>
    <w:rPr>
      <w:b/>
    </w:rPr>
  </w:style>
  <w:style w:type="paragraph" w:styleId="Heading5">
    <w:name w:val="heading 5"/>
    <w:basedOn w:val="Normal"/>
    <w:next w:val="Normal"/>
    <w:uiPriority w:val="9"/>
    <w:semiHidden/>
    <w:unhideWhenUsed/>
    <w:qFormat/>
    <w:pPr>
      <w:keepNext/>
      <w:keepLines/>
      <w:spacing w:before="220" w:after="40"/>
      <w:outlineLvl w:val="4"/>
    </w:pPr>
    <w:rPr>
      <w:b/>
      <w:sz w:val="22"/>
      <w:szCs w:val="22"/>
    </w:rPr>
  </w:style>
  <w:style w:type="paragraph" w:styleId="Heading6">
    <w:name w:val="heading 6"/>
    <w:basedOn w:val="Normal"/>
    <w:next w:val="Normal"/>
    <w:uiPriority w:val="9"/>
    <w:semiHidden/>
    <w:unhideWhenUsed/>
    <w:qFormat/>
    <w:pPr>
      <w:keepNext/>
      <w:keepLines/>
      <w:spacing w:before="200" w:after="40"/>
      <w:outlineLvl w:val="5"/>
    </w:pPr>
    <w:rPr>
      <w:b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next w:val="Normal"/>
    <w:uiPriority w:val="10"/>
    <w:qFormat/>
    <w:pPr>
      <w:keepNext/>
      <w:keepLines/>
      <w:spacing w:before="480" w:after="120"/>
    </w:pPr>
    <w:rPr>
      <w:b/>
      <w:sz w:val="72"/>
      <w:szCs w:val="72"/>
    </w:rPr>
  </w:style>
  <w:style w:type="character" w:customStyle="1" w:styleId="BodyTextChar">
    <w:name w:val="Body Text Char"/>
    <w:basedOn w:val="DefaultParagraphFont"/>
    <w:link w:val="BodyText"/>
    <w:rPr>
      <w:rFonts w:ascii="Arial" w:eastAsia="Arial" w:hAnsi="Arial" w:cs="Arial"/>
      <w:b w:val="0"/>
      <w:bCs w:val="0"/>
      <w:i w:val="0"/>
      <w:iCs w:val="0"/>
      <w:smallCaps w:val="0"/>
      <w:strike w:val="0"/>
      <w:sz w:val="22"/>
      <w:szCs w:val="22"/>
      <w:u w:val="none"/>
    </w:rPr>
  </w:style>
  <w:style w:type="character" w:customStyle="1" w:styleId="Heading10">
    <w:name w:val="Heading #1_"/>
    <w:basedOn w:val="DefaultParagraphFont"/>
    <w:link w:val="Heading11"/>
    <w:rPr>
      <w:rFonts w:ascii="Arial" w:eastAsia="Arial" w:hAnsi="Arial" w:cs="Arial"/>
      <w:b/>
      <w:bCs/>
      <w:i w:val="0"/>
      <w:iCs w:val="0"/>
      <w:smallCaps w:val="0"/>
      <w:strike w:val="0"/>
      <w:sz w:val="26"/>
      <w:szCs w:val="26"/>
      <w:u w:val="none"/>
    </w:rPr>
  </w:style>
  <w:style w:type="character" w:customStyle="1" w:styleId="Heading20">
    <w:name w:val="Heading #2_"/>
    <w:basedOn w:val="DefaultParagraphFont"/>
    <w:link w:val="Heading21"/>
    <w:rPr>
      <w:rFonts w:ascii="Arial" w:eastAsia="Arial" w:hAnsi="Arial" w:cs="Arial"/>
      <w:b/>
      <w:bCs/>
      <w:i w:val="0"/>
      <w:iCs w:val="0"/>
      <w:smallCaps w:val="0"/>
      <w:strike w:val="0"/>
      <w:sz w:val="22"/>
      <w:szCs w:val="22"/>
      <w:u w:val="none"/>
    </w:rPr>
  </w:style>
  <w:style w:type="character" w:customStyle="1" w:styleId="Bodytext2">
    <w:name w:val="Body text (2)_"/>
    <w:basedOn w:val="DefaultParagraphFont"/>
    <w:link w:val="Bodytext20"/>
    <w:rPr>
      <w:rFonts w:ascii="Times New Roman" w:eastAsia="Times New Roman" w:hAnsi="Times New Roman" w:cs="Times New Roman"/>
      <w:b w:val="0"/>
      <w:bCs w:val="0"/>
      <w:i w:val="0"/>
      <w:iCs w:val="0"/>
      <w:smallCaps w:val="0"/>
      <w:strike w:val="0"/>
      <w:color w:val="FE191C"/>
      <w:sz w:val="9"/>
      <w:szCs w:val="9"/>
      <w:u w:val="none"/>
    </w:rPr>
  </w:style>
  <w:style w:type="character" w:customStyle="1" w:styleId="Bodytext3">
    <w:name w:val="Body text (3)_"/>
    <w:basedOn w:val="DefaultParagraphFont"/>
    <w:link w:val="Bodytext30"/>
    <w:rPr>
      <w:rFonts w:ascii="Arial" w:eastAsia="Arial" w:hAnsi="Arial" w:cs="Arial"/>
      <w:b w:val="0"/>
      <w:bCs w:val="0"/>
      <w:i w:val="0"/>
      <w:iCs w:val="0"/>
      <w:smallCaps w:val="0"/>
      <w:strike w:val="0"/>
      <w:color w:val="FF5B74"/>
      <w:w w:val="70"/>
      <w:sz w:val="19"/>
      <w:szCs w:val="19"/>
      <w:u w:val="none"/>
    </w:rPr>
  </w:style>
  <w:style w:type="paragraph" w:styleId="BodyText">
    <w:name w:val="Body Text"/>
    <w:basedOn w:val="Normal"/>
    <w:link w:val="BodyTextChar"/>
    <w:qFormat/>
    <w:pPr>
      <w:spacing w:line="298" w:lineRule="auto"/>
    </w:pPr>
    <w:rPr>
      <w:rFonts w:ascii="Arial" w:eastAsia="Arial" w:hAnsi="Arial" w:cs="Arial"/>
      <w:sz w:val="22"/>
      <w:szCs w:val="22"/>
    </w:rPr>
  </w:style>
  <w:style w:type="paragraph" w:customStyle="1" w:styleId="Heading11">
    <w:name w:val="Heading #1"/>
    <w:basedOn w:val="Normal"/>
    <w:link w:val="Heading10"/>
    <w:pPr>
      <w:spacing w:line="298" w:lineRule="auto"/>
      <w:jc w:val="center"/>
      <w:outlineLvl w:val="0"/>
    </w:pPr>
    <w:rPr>
      <w:rFonts w:ascii="Arial" w:eastAsia="Arial" w:hAnsi="Arial" w:cs="Arial"/>
      <w:b/>
      <w:bCs/>
      <w:sz w:val="26"/>
      <w:szCs w:val="26"/>
    </w:rPr>
  </w:style>
  <w:style w:type="paragraph" w:customStyle="1" w:styleId="Heading21">
    <w:name w:val="Heading #2"/>
    <w:basedOn w:val="Normal"/>
    <w:link w:val="Heading20"/>
    <w:pPr>
      <w:spacing w:line="278" w:lineRule="auto"/>
      <w:outlineLvl w:val="1"/>
    </w:pPr>
    <w:rPr>
      <w:rFonts w:ascii="Arial" w:eastAsia="Arial" w:hAnsi="Arial" w:cs="Arial"/>
      <w:b/>
      <w:bCs/>
      <w:sz w:val="22"/>
      <w:szCs w:val="22"/>
    </w:rPr>
  </w:style>
  <w:style w:type="paragraph" w:customStyle="1" w:styleId="Bodytext20">
    <w:name w:val="Body text (2)"/>
    <w:basedOn w:val="Normal"/>
    <w:link w:val="Bodytext2"/>
    <w:pPr>
      <w:spacing w:line="305" w:lineRule="auto"/>
    </w:pPr>
    <w:rPr>
      <w:rFonts w:ascii="Times New Roman" w:eastAsia="Times New Roman" w:hAnsi="Times New Roman" w:cs="Times New Roman"/>
      <w:color w:val="FE191C"/>
      <w:sz w:val="9"/>
      <w:szCs w:val="9"/>
    </w:rPr>
  </w:style>
  <w:style w:type="paragraph" w:customStyle="1" w:styleId="Bodytext30">
    <w:name w:val="Body text (3)"/>
    <w:basedOn w:val="Normal"/>
    <w:link w:val="Bodytext3"/>
    <w:pPr>
      <w:spacing w:line="276" w:lineRule="auto"/>
    </w:pPr>
    <w:rPr>
      <w:rFonts w:ascii="Arial" w:eastAsia="Arial" w:hAnsi="Arial" w:cs="Arial"/>
      <w:color w:val="FF5B74"/>
      <w:w w:val="70"/>
      <w:sz w:val="19"/>
      <w:szCs w:val="19"/>
    </w:rPr>
  </w:style>
  <w:style w:type="paragraph" w:styleId="Subtitle">
    <w:name w:val="Subtitle"/>
    <w:basedOn w:val="Normal"/>
    <w:next w:val="Normal"/>
    <w:uiPriority w:val="11"/>
    <w:qFormat/>
    <w:pPr>
      <w:keepNext/>
      <w:keepLines/>
      <w:spacing w:before="360" w:after="80"/>
    </w:pPr>
    <w:rPr>
      <w:rFonts w:ascii="Georgia" w:eastAsia="Georgia" w:hAnsi="Georgia" w:cs="Georgia"/>
      <w:i/>
      <w:color w:val="666666"/>
      <w:sz w:val="48"/>
      <w:szCs w:val="4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hHycalmWkjgVB3iH0GXy9fNfb/8Q==">CgMxLjA4AHIhMVdoLThyX0lSSlFMVE81cGJtcUJzVjl6NzVkV2ZHdGRq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customooxmlschemas.google.com/"/>
    <ds:schemaRef ds:uri="http://schemas.openxmlformats.org/officeDocument/2006/relationships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4</TotalTime>
  <Pages>2</Pages>
  <Words>372</Words>
  <Characters>2127</Characters>
  <Application>Microsoft Office Word</Application>
  <DocSecurity>0</DocSecurity>
  <Lines>17</Lines>
  <Paragraphs>4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2495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lastModifiedBy>Hoang Phuong Thao</cp:lastModifiedBy>
  <cp:revision>6</cp:revision>
  <dcterms:created xsi:type="dcterms:W3CDTF">2024-01-29T01:49:00Z</dcterms:created>
  <dcterms:modified xsi:type="dcterms:W3CDTF">2024-01-30T11:03:00Z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GrammarlyDocumentId">
    <vt:lpwstr>f8f1c7c6f5bf66a66de7a20da5b9bd777f5d6843043b11bed3c39fd4bef721d1</vt:lpwstr>
  </property>
</Properties>
</file>