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94B82" w14:textId="77777777" w:rsidR="00A5236D" w:rsidRPr="00882305" w:rsidRDefault="00882305" w:rsidP="00882305">
      <w:pPr>
        <w:keepNext/>
        <w:pBdr>
          <w:top w:val="nil"/>
          <w:left w:val="nil"/>
          <w:bottom w:val="nil"/>
          <w:right w:val="nil"/>
          <w:between w:val="nil"/>
        </w:pBdr>
        <w:tabs>
          <w:tab w:val="left" w:pos="360"/>
          <w:tab w:val="left" w:pos="480"/>
        </w:tabs>
        <w:spacing w:after="120" w:line="360" w:lineRule="auto"/>
        <w:rPr>
          <w:rFonts w:ascii="Arial" w:eastAsia="Arial" w:hAnsi="Arial" w:cs="Arial"/>
          <w:b/>
          <w:color w:val="010000"/>
          <w:sz w:val="20"/>
          <w:szCs w:val="20"/>
        </w:rPr>
      </w:pPr>
      <w:r w:rsidRPr="00882305">
        <w:rPr>
          <w:rFonts w:ascii="Arial" w:hAnsi="Arial" w:cs="Arial"/>
          <w:b/>
          <w:color w:val="010000"/>
          <w:sz w:val="20"/>
        </w:rPr>
        <w:t>CII121029: Report on results of public offering</w:t>
      </w:r>
    </w:p>
    <w:p w14:paraId="72228813" w14:textId="77777777" w:rsidR="00A5236D" w:rsidRPr="00882305" w:rsidRDefault="00882305" w:rsidP="00882305">
      <w:pPr>
        <w:keepNext/>
        <w:pBdr>
          <w:top w:val="nil"/>
          <w:left w:val="nil"/>
          <w:bottom w:val="nil"/>
          <w:right w:val="nil"/>
          <w:between w:val="nil"/>
        </w:pBdr>
        <w:tabs>
          <w:tab w:val="left" w:pos="360"/>
          <w:tab w:val="left" w:pos="480"/>
        </w:tabs>
        <w:spacing w:after="120" w:line="360" w:lineRule="auto"/>
        <w:rPr>
          <w:rFonts w:ascii="Arial" w:eastAsia="Arial" w:hAnsi="Arial" w:cs="Arial"/>
          <w:color w:val="010000"/>
          <w:sz w:val="20"/>
          <w:szCs w:val="20"/>
        </w:rPr>
      </w:pPr>
      <w:r w:rsidRPr="00882305">
        <w:rPr>
          <w:rFonts w:ascii="Arial" w:hAnsi="Arial" w:cs="Arial"/>
          <w:color w:val="010000"/>
          <w:sz w:val="20"/>
        </w:rPr>
        <w:t xml:space="preserve">On January 25, 2024, Ho Chi Minh City Infrastructure Investment Joint Stock Company announced Report No. 86/2024/BC-CII on the results of public offering as follows: </w:t>
      </w:r>
    </w:p>
    <w:p w14:paraId="31CB368A" w14:textId="77777777" w:rsidR="00A5236D" w:rsidRPr="00882305" w:rsidRDefault="00882305" w:rsidP="00882305">
      <w:pPr>
        <w:keepNext/>
        <w:numPr>
          <w:ilvl w:val="0"/>
          <w:numId w:val="8"/>
        </w:numPr>
        <w:pBdr>
          <w:top w:val="nil"/>
          <w:left w:val="nil"/>
          <w:bottom w:val="nil"/>
          <w:right w:val="nil"/>
          <w:between w:val="nil"/>
        </w:pBdr>
        <w:tabs>
          <w:tab w:val="left" w:pos="360"/>
          <w:tab w:val="left" w:pos="480"/>
        </w:tabs>
        <w:spacing w:after="120" w:line="360" w:lineRule="auto"/>
        <w:rPr>
          <w:rFonts w:ascii="Arial" w:eastAsia="Arial" w:hAnsi="Arial" w:cs="Arial"/>
          <w:color w:val="010000"/>
          <w:sz w:val="20"/>
          <w:szCs w:val="20"/>
        </w:rPr>
      </w:pPr>
      <w:r w:rsidRPr="00882305">
        <w:rPr>
          <w:rFonts w:ascii="Arial" w:hAnsi="Arial" w:cs="Arial"/>
          <w:color w:val="010000"/>
          <w:sz w:val="20"/>
        </w:rPr>
        <w:t>Offering plan</w:t>
      </w:r>
    </w:p>
    <w:p w14:paraId="5BF82CDD" w14:textId="77777777" w:rsidR="00A5236D" w:rsidRPr="00882305" w:rsidRDefault="00882305" w:rsidP="00882305">
      <w:pPr>
        <w:numPr>
          <w:ilvl w:val="0"/>
          <w:numId w:val="9"/>
        </w:numPr>
        <w:pBdr>
          <w:top w:val="nil"/>
          <w:left w:val="nil"/>
          <w:bottom w:val="nil"/>
          <w:right w:val="nil"/>
          <w:between w:val="nil"/>
        </w:pBdr>
        <w:tabs>
          <w:tab w:val="left" w:pos="360"/>
          <w:tab w:val="left" w:pos="939"/>
        </w:tabs>
        <w:spacing w:after="120" w:line="360" w:lineRule="auto"/>
        <w:rPr>
          <w:rFonts w:ascii="Arial" w:eastAsia="Arial" w:hAnsi="Arial" w:cs="Arial"/>
          <w:color w:val="010000"/>
          <w:sz w:val="20"/>
          <w:szCs w:val="20"/>
        </w:rPr>
      </w:pPr>
      <w:r w:rsidRPr="00882305">
        <w:rPr>
          <w:rFonts w:ascii="Arial" w:hAnsi="Arial" w:cs="Arial"/>
          <w:color w:val="010000"/>
          <w:sz w:val="20"/>
        </w:rPr>
        <w:t>Bond name: Bond of Ho Chi Minh City Infrastructure Investment Joint Stock Company</w:t>
      </w:r>
    </w:p>
    <w:p w14:paraId="5ADE073B" w14:textId="77777777" w:rsidR="00A5236D" w:rsidRPr="00882305" w:rsidRDefault="00882305" w:rsidP="00882305">
      <w:pPr>
        <w:numPr>
          <w:ilvl w:val="0"/>
          <w:numId w:val="9"/>
        </w:numPr>
        <w:pBdr>
          <w:top w:val="nil"/>
          <w:left w:val="nil"/>
          <w:bottom w:val="nil"/>
          <w:right w:val="nil"/>
          <w:between w:val="nil"/>
        </w:pBdr>
        <w:tabs>
          <w:tab w:val="left" w:pos="360"/>
          <w:tab w:val="left" w:pos="939"/>
        </w:tabs>
        <w:spacing w:after="120" w:line="360" w:lineRule="auto"/>
        <w:rPr>
          <w:rFonts w:ascii="Arial" w:eastAsia="Arial" w:hAnsi="Arial" w:cs="Arial"/>
          <w:color w:val="010000"/>
          <w:sz w:val="20"/>
          <w:szCs w:val="20"/>
        </w:rPr>
      </w:pPr>
      <w:r w:rsidRPr="00882305">
        <w:rPr>
          <w:rFonts w:ascii="Arial" w:hAnsi="Arial" w:cs="Arial"/>
          <w:color w:val="010000"/>
          <w:sz w:val="20"/>
        </w:rPr>
        <w:t>Bond type: Bonds convertible into shares, no collateral, no warrants included</w:t>
      </w:r>
    </w:p>
    <w:p w14:paraId="12C84052" w14:textId="77777777" w:rsidR="00A5236D" w:rsidRPr="00882305" w:rsidRDefault="00882305" w:rsidP="00882305">
      <w:pPr>
        <w:numPr>
          <w:ilvl w:val="0"/>
          <w:numId w:val="9"/>
        </w:numPr>
        <w:pBdr>
          <w:top w:val="nil"/>
          <w:left w:val="nil"/>
          <w:bottom w:val="nil"/>
          <w:right w:val="nil"/>
          <w:between w:val="nil"/>
        </w:pBdr>
        <w:tabs>
          <w:tab w:val="left" w:pos="360"/>
          <w:tab w:val="left" w:pos="1787"/>
        </w:tabs>
        <w:spacing w:after="120" w:line="360" w:lineRule="auto"/>
        <w:rPr>
          <w:rFonts w:ascii="Arial" w:eastAsia="Arial" w:hAnsi="Arial" w:cs="Arial"/>
          <w:color w:val="010000"/>
          <w:sz w:val="20"/>
          <w:szCs w:val="20"/>
        </w:rPr>
      </w:pPr>
      <w:r w:rsidRPr="00882305">
        <w:rPr>
          <w:rFonts w:ascii="Arial" w:hAnsi="Arial" w:cs="Arial"/>
          <w:color w:val="010000"/>
          <w:sz w:val="20"/>
        </w:rPr>
        <w:t>Bond code: CII42301</w:t>
      </w:r>
    </w:p>
    <w:p w14:paraId="2758541F" w14:textId="77777777" w:rsidR="00A5236D" w:rsidRPr="00882305" w:rsidRDefault="00882305" w:rsidP="00882305">
      <w:pPr>
        <w:numPr>
          <w:ilvl w:val="0"/>
          <w:numId w:val="9"/>
        </w:numPr>
        <w:pBdr>
          <w:top w:val="nil"/>
          <w:left w:val="nil"/>
          <w:bottom w:val="nil"/>
          <w:right w:val="nil"/>
          <w:between w:val="nil"/>
        </w:pBdr>
        <w:tabs>
          <w:tab w:val="left" w:pos="360"/>
          <w:tab w:val="left" w:pos="1787"/>
        </w:tabs>
        <w:spacing w:after="120" w:line="360" w:lineRule="auto"/>
        <w:rPr>
          <w:rFonts w:ascii="Arial" w:eastAsia="Arial" w:hAnsi="Arial" w:cs="Arial"/>
          <w:color w:val="010000"/>
          <w:sz w:val="20"/>
          <w:szCs w:val="20"/>
        </w:rPr>
      </w:pPr>
      <w:r w:rsidRPr="00882305">
        <w:rPr>
          <w:rFonts w:ascii="Arial" w:hAnsi="Arial" w:cs="Arial"/>
          <w:color w:val="010000"/>
          <w:sz w:val="20"/>
        </w:rPr>
        <w:t>Bond par value: VND 100,000/bond.</w:t>
      </w:r>
    </w:p>
    <w:p w14:paraId="029FE3EF" w14:textId="77777777" w:rsidR="00A5236D" w:rsidRPr="00882305" w:rsidRDefault="00882305" w:rsidP="00882305">
      <w:pPr>
        <w:numPr>
          <w:ilvl w:val="0"/>
          <w:numId w:val="9"/>
        </w:numPr>
        <w:pBdr>
          <w:top w:val="nil"/>
          <w:left w:val="nil"/>
          <w:bottom w:val="nil"/>
          <w:right w:val="nil"/>
          <w:between w:val="nil"/>
        </w:pBdr>
        <w:tabs>
          <w:tab w:val="left" w:pos="360"/>
          <w:tab w:val="left" w:pos="1787"/>
        </w:tabs>
        <w:spacing w:after="120" w:line="360" w:lineRule="auto"/>
        <w:rPr>
          <w:rFonts w:ascii="Arial" w:eastAsia="Arial" w:hAnsi="Arial" w:cs="Arial"/>
          <w:color w:val="010000"/>
          <w:sz w:val="20"/>
          <w:szCs w:val="20"/>
        </w:rPr>
      </w:pPr>
      <w:r w:rsidRPr="00882305">
        <w:rPr>
          <w:rFonts w:ascii="Arial" w:hAnsi="Arial" w:cs="Arial"/>
          <w:color w:val="010000"/>
          <w:sz w:val="20"/>
        </w:rPr>
        <w:t>Total number of bonds offered: 28,401,951 bonds</w:t>
      </w:r>
    </w:p>
    <w:p w14:paraId="4AF803EB" w14:textId="77777777" w:rsidR="00A5236D" w:rsidRPr="00882305" w:rsidRDefault="00882305" w:rsidP="00882305">
      <w:pPr>
        <w:numPr>
          <w:ilvl w:val="0"/>
          <w:numId w:val="9"/>
        </w:numPr>
        <w:pBdr>
          <w:top w:val="nil"/>
          <w:left w:val="nil"/>
          <w:bottom w:val="nil"/>
          <w:right w:val="nil"/>
          <w:between w:val="nil"/>
        </w:pBdr>
        <w:tabs>
          <w:tab w:val="left" w:pos="360"/>
          <w:tab w:val="left" w:pos="1787"/>
        </w:tabs>
        <w:spacing w:after="120" w:line="360" w:lineRule="auto"/>
        <w:rPr>
          <w:rFonts w:ascii="Arial" w:eastAsia="Arial" w:hAnsi="Arial" w:cs="Arial"/>
          <w:color w:val="010000"/>
          <w:sz w:val="20"/>
          <w:szCs w:val="20"/>
        </w:rPr>
      </w:pPr>
      <w:r w:rsidRPr="00882305">
        <w:rPr>
          <w:rFonts w:ascii="Arial" w:hAnsi="Arial" w:cs="Arial"/>
          <w:color w:val="010000"/>
          <w:sz w:val="20"/>
        </w:rPr>
        <w:t>Total value of offered bonds (based on the par value): VND 2,840,195,100,000</w:t>
      </w:r>
    </w:p>
    <w:p w14:paraId="27BB1BC7" w14:textId="77777777" w:rsidR="00A5236D" w:rsidRPr="00882305" w:rsidRDefault="00882305" w:rsidP="00882305">
      <w:pPr>
        <w:numPr>
          <w:ilvl w:val="0"/>
          <w:numId w:val="9"/>
        </w:numPr>
        <w:pBdr>
          <w:top w:val="nil"/>
          <w:left w:val="nil"/>
          <w:bottom w:val="nil"/>
          <w:right w:val="nil"/>
          <w:between w:val="nil"/>
        </w:pBdr>
        <w:tabs>
          <w:tab w:val="left" w:pos="360"/>
          <w:tab w:val="left" w:pos="1787"/>
        </w:tabs>
        <w:spacing w:after="120" w:line="360" w:lineRule="auto"/>
        <w:rPr>
          <w:rFonts w:ascii="Arial" w:eastAsia="Arial" w:hAnsi="Arial" w:cs="Arial"/>
          <w:color w:val="010000"/>
          <w:sz w:val="20"/>
          <w:szCs w:val="20"/>
        </w:rPr>
      </w:pPr>
      <w:r w:rsidRPr="00882305">
        <w:rPr>
          <w:rFonts w:ascii="Arial" w:hAnsi="Arial" w:cs="Arial"/>
          <w:color w:val="010000"/>
          <w:sz w:val="20"/>
        </w:rPr>
        <w:t>Bond terms: 10 years</w:t>
      </w:r>
    </w:p>
    <w:p w14:paraId="50255DC2" w14:textId="77777777" w:rsidR="00A5236D" w:rsidRPr="00882305" w:rsidRDefault="00882305" w:rsidP="00882305">
      <w:pPr>
        <w:numPr>
          <w:ilvl w:val="0"/>
          <w:numId w:val="9"/>
        </w:numPr>
        <w:pBdr>
          <w:top w:val="nil"/>
          <w:left w:val="nil"/>
          <w:bottom w:val="nil"/>
          <w:right w:val="nil"/>
          <w:between w:val="nil"/>
        </w:pBdr>
        <w:tabs>
          <w:tab w:val="left" w:pos="360"/>
          <w:tab w:val="left" w:pos="1787"/>
        </w:tabs>
        <w:spacing w:after="120" w:line="360" w:lineRule="auto"/>
        <w:rPr>
          <w:rFonts w:ascii="Arial" w:eastAsia="Arial" w:hAnsi="Arial" w:cs="Arial"/>
          <w:color w:val="010000"/>
          <w:sz w:val="20"/>
          <w:szCs w:val="20"/>
        </w:rPr>
      </w:pPr>
      <w:r w:rsidRPr="00882305">
        <w:rPr>
          <w:rFonts w:ascii="Arial" w:hAnsi="Arial" w:cs="Arial"/>
          <w:color w:val="010000"/>
          <w:sz w:val="20"/>
        </w:rPr>
        <w:t>Interest rate:</w:t>
      </w:r>
    </w:p>
    <w:p w14:paraId="448ACBB8"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Bonds have interest rates that are a combination of fixed and floating interest rates, specifically as follows:</w:t>
      </w:r>
    </w:p>
    <w:p w14:paraId="1BB62F6F" w14:textId="77777777" w:rsidR="00A5236D" w:rsidRPr="00882305" w:rsidRDefault="00882305" w:rsidP="00882305">
      <w:pPr>
        <w:numPr>
          <w:ilvl w:val="0"/>
          <w:numId w:val="1"/>
        </w:numPr>
        <w:pBdr>
          <w:top w:val="nil"/>
          <w:left w:val="nil"/>
          <w:bottom w:val="nil"/>
          <w:right w:val="nil"/>
          <w:between w:val="nil"/>
        </w:pBdr>
        <w:tabs>
          <w:tab w:val="left" w:pos="360"/>
          <w:tab w:val="left" w:pos="2355"/>
        </w:tabs>
        <w:spacing w:after="120" w:line="360" w:lineRule="auto"/>
        <w:rPr>
          <w:rFonts w:ascii="Arial" w:eastAsia="Arial" w:hAnsi="Arial" w:cs="Arial"/>
          <w:color w:val="010000"/>
          <w:sz w:val="20"/>
          <w:szCs w:val="20"/>
        </w:rPr>
      </w:pPr>
      <w:r w:rsidRPr="00882305">
        <w:rPr>
          <w:rFonts w:ascii="Arial" w:hAnsi="Arial" w:cs="Arial"/>
          <w:color w:val="010000"/>
          <w:sz w:val="20"/>
        </w:rPr>
        <w:t>For the first 04 Interest Calculation Period: The Bond interest rate is fixed at 10%/year, and</w:t>
      </w:r>
    </w:p>
    <w:p w14:paraId="374663C8" w14:textId="77777777" w:rsidR="00A5236D" w:rsidRPr="00882305" w:rsidRDefault="00882305" w:rsidP="00882305">
      <w:pPr>
        <w:numPr>
          <w:ilvl w:val="0"/>
          <w:numId w:val="1"/>
        </w:numPr>
        <w:pBdr>
          <w:top w:val="nil"/>
          <w:left w:val="nil"/>
          <w:bottom w:val="nil"/>
          <w:right w:val="nil"/>
          <w:between w:val="nil"/>
        </w:pBdr>
        <w:tabs>
          <w:tab w:val="left" w:pos="360"/>
          <w:tab w:val="left" w:pos="2355"/>
        </w:tabs>
        <w:spacing w:after="120" w:line="360" w:lineRule="auto"/>
        <w:rPr>
          <w:rFonts w:ascii="Arial" w:eastAsia="Arial" w:hAnsi="Arial" w:cs="Arial"/>
          <w:color w:val="010000"/>
          <w:sz w:val="20"/>
          <w:szCs w:val="20"/>
        </w:rPr>
      </w:pPr>
      <w:r w:rsidRPr="00882305">
        <w:rPr>
          <w:rFonts w:ascii="Arial" w:hAnsi="Arial" w:cs="Arial"/>
          <w:color w:val="010000"/>
          <w:sz w:val="20"/>
        </w:rPr>
        <w:t>For the next Interest Calculation Periods: The Bond interest rate is a floating interest rate with an interest rate equal to the sum of 2.5%/year and the Reference Interest Rate of that Interest Period.</w:t>
      </w:r>
    </w:p>
    <w:p w14:paraId="226EBAD0"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In which:</w:t>
      </w:r>
    </w:p>
    <w:p w14:paraId="0D017829"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“Reference Interest Rate” is the average interest rate on personal savings deposits in VND, with a 12-month term (interest paid in arrears and mobilized over the counter), announced at the Interest Rate Determination Date (the 7th business day before the first day of each Interest Period) on the official websites of reference banks (including 02 banks: Vietnam Joint Stock Commercial Bank for Industry and Trade and Joint Stock Commercial Bank for Foreign Trade of Vietnam). For clarity, the Reference Rate, if not an integer, will be rounded to two decimal places</w:t>
      </w:r>
    </w:p>
    <w:p w14:paraId="0C6B7206" w14:textId="77777777" w:rsidR="00A5236D" w:rsidRPr="00882305" w:rsidRDefault="00882305" w:rsidP="00882305">
      <w:pPr>
        <w:numPr>
          <w:ilvl w:val="0"/>
          <w:numId w:val="9"/>
        </w:numPr>
        <w:pBdr>
          <w:top w:val="nil"/>
          <w:left w:val="nil"/>
          <w:bottom w:val="nil"/>
          <w:right w:val="nil"/>
          <w:between w:val="nil"/>
        </w:pBdr>
        <w:tabs>
          <w:tab w:val="left" w:pos="360"/>
          <w:tab w:val="left" w:pos="1787"/>
        </w:tabs>
        <w:spacing w:after="120" w:line="360" w:lineRule="auto"/>
        <w:rPr>
          <w:rFonts w:ascii="Arial" w:eastAsia="Arial" w:hAnsi="Arial" w:cs="Arial"/>
          <w:color w:val="010000"/>
          <w:sz w:val="20"/>
          <w:szCs w:val="20"/>
        </w:rPr>
      </w:pPr>
      <w:r w:rsidRPr="00882305">
        <w:rPr>
          <w:rFonts w:ascii="Arial" w:hAnsi="Arial" w:cs="Arial"/>
          <w:color w:val="010000"/>
          <w:sz w:val="20"/>
        </w:rPr>
        <w:lastRenderedPageBreak/>
        <w:t>Interest payment period:</w:t>
      </w:r>
    </w:p>
    <w:p w14:paraId="1101FB57"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Bond interest: paid periodically every 3 months, 3 months (i) from the Issue Date (for the first Interest Calculation Period), or (ii) from the previous interest payment date (for subsequent Interest Periods) (“Interest Payment Date”). If the Interest Payment Date is a Saturday, Sunday or holiday, the Bond interest payment will be made on the next working day.</w:t>
      </w:r>
    </w:p>
    <w:p w14:paraId="14140410"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For clarity, (i) Bonds converted into common shares at each Conversion will still be charged interest for the Interest Period of that Conversion; and (ii) the amount contributed by the investor from the date of payment to purchase the Bonds up to but excluding the Issuance Date will not be subject to interest.</w:t>
      </w:r>
    </w:p>
    <w:p w14:paraId="5EEC89EA" w14:textId="77777777" w:rsidR="00A5236D" w:rsidRPr="00882305" w:rsidRDefault="00882305" w:rsidP="00882305">
      <w:pPr>
        <w:numPr>
          <w:ilvl w:val="0"/>
          <w:numId w:val="9"/>
        </w:numPr>
        <w:pBdr>
          <w:top w:val="nil"/>
          <w:left w:val="nil"/>
          <w:bottom w:val="nil"/>
          <w:right w:val="nil"/>
          <w:between w:val="nil"/>
        </w:pBdr>
        <w:tabs>
          <w:tab w:val="left" w:pos="360"/>
          <w:tab w:val="left" w:pos="1819"/>
        </w:tabs>
        <w:spacing w:after="120" w:line="360" w:lineRule="auto"/>
        <w:rPr>
          <w:rFonts w:ascii="Arial" w:eastAsia="Arial" w:hAnsi="Arial" w:cs="Arial"/>
          <w:color w:val="010000"/>
          <w:sz w:val="20"/>
          <w:szCs w:val="20"/>
        </w:rPr>
      </w:pPr>
      <w:r w:rsidRPr="00882305">
        <w:rPr>
          <w:rFonts w:ascii="Arial" w:hAnsi="Arial" w:cs="Arial"/>
          <w:color w:val="010000"/>
          <w:sz w:val="20"/>
        </w:rPr>
        <w:t>Offering price: VND 100,000/Bond.</w:t>
      </w:r>
    </w:p>
    <w:p w14:paraId="3373C760" w14:textId="6216149A" w:rsidR="00A5236D" w:rsidRPr="00882305" w:rsidRDefault="00882305" w:rsidP="00882305">
      <w:pPr>
        <w:numPr>
          <w:ilvl w:val="0"/>
          <w:numId w:val="9"/>
        </w:numPr>
        <w:pBdr>
          <w:top w:val="nil"/>
          <w:left w:val="nil"/>
          <w:bottom w:val="nil"/>
          <w:right w:val="nil"/>
          <w:between w:val="nil"/>
        </w:pBdr>
        <w:tabs>
          <w:tab w:val="left" w:pos="360"/>
          <w:tab w:val="left" w:pos="1819"/>
        </w:tabs>
        <w:spacing w:after="120" w:line="360" w:lineRule="auto"/>
        <w:rPr>
          <w:rFonts w:ascii="Arial" w:eastAsia="Arial" w:hAnsi="Arial" w:cs="Arial"/>
          <w:color w:val="010000"/>
          <w:sz w:val="20"/>
          <w:szCs w:val="20"/>
        </w:rPr>
      </w:pPr>
      <w:r w:rsidRPr="00882305">
        <w:rPr>
          <w:rFonts w:ascii="Arial" w:hAnsi="Arial" w:cs="Arial"/>
          <w:color w:val="010000"/>
          <w:sz w:val="20"/>
        </w:rPr>
        <w:t>Distribution method: Through the issuing agent, Viet Nam Bank For Industry &amp; Trade Securities JSC</w:t>
      </w:r>
    </w:p>
    <w:p w14:paraId="56C1B4EB"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12. Time to receive purchase registration and payment:</w:t>
      </w:r>
    </w:p>
    <w:p w14:paraId="60469295"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Time to receive purchase registration and payment for existing bondholders: From October 26, 2023 to December 28, 2023.</w:t>
      </w:r>
    </w:p>
    <w:p w14:paraId="0E723799"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Time to receive registration to buy and pay money to officers and employees of the Issuer for remaining bonds not yet distributed to existing bondholders: Before 4:00 p.m. on January 25, 2024.</w:t>
      </w:r>
    </w:p>
    <w:p w14:paraId="4ECB9769" w14:textId="77777777" w:rsidR="00A5236D" w:rsidRPr="00882305" w:rsidRDefault="00882305" w:rsidP="00882305">
      <w:pPr>
        <w:numPr>
          <w:ilvl w:val="0"/>
          <w:numId w:val="2"/>
        </w:numPr>
        <w:pBdr>
          <w:top w:val="nil"/>
          <w:left w:val="nil"/>
          <w:bottom w:val="nil"/>
          <w:right w:val="nil"/>
          <w:between w:val="nil"/>
        </w:pBdr>
        <w:tabs>
          <w:tab w:val="left" w:pos="383"/>
        </w:tabs>
        <w:spacing w:after="120" w:line="360" w:lineRule="auto"/>
        <w:rPr>
          <w:rFonts w:ascii="Arial" w:eastAsia="Arial" w:hAnsi="Arial" w:cs="Arial"/>
          <w:color w:val="010000"/>
          <w:sz w:val="20"/>
          <w:szCs w:val="20"/>
        </w:rPr>
      </w:pPr>
      <w:r w:rsidRPr="00882305">
        <w:rPr>
          <w:rFonts w:ascii="Arial" w:hAnsi="Arial" w:cs="Arial"/>
          <w:color w:val="010000"/>
          <w:sz w:val="20"/>
        </w:rPr>
        <w:t>The end date of the offering: January 25, 2024.</w:t>
      </w:r>
    </w:p>
    <w:p w14:paraId="737C8523" w14:textId="77777777" w:rsidR="00A5236D" w:rsidRPr="00882305" w:rsidRDefault="00882305" w:rsidP="00882305">
      <w:pPr>
        <w:numPr>
          <w:ilvl w:val="0"/>
          <w:numId w:val="2"/>
        </w:numPr>
        <w:pBdr>
          <w:top w:val="nil"/>
          <w:left w:val="nil"/>
          <w:bottom w:val="nil"/>
          <w:right w:val="nil"/>
          <w:between w:val="nil"/>
        </w:pBdr>
        <w:tabs>
          <w:tab w:val="left" w:pos="383"/>
        </w:tabs>
        <w:spacing w:after="120" w:line="360" w:lineRule="auto"/>
        <w:rPr>
          <w:rFonts w:ascii="Arial" w:eastAsia="Arial" w:hAnsi="Arial" w:cs="Arial"/>
          <w:color w:val="010000"/>
          <w:sz w:val="20"/>
          <w:szCs w:val="20"/>
        </w:rPr>
      </w:pPr>
      <w:r w:rsidRPr="00882305">
        <w:rPr>
          <w:rFonts w:ascii="Arial" w:hAnsi="Arial" w:cs="Arial"/>
          <w:color w:val="010000"/>
          <w:sz w:val="20"/>
        </w:rPr>
        <w:t>Expected date to transfer bonds: Expected February 2024 - March 2024.</w:t>
      </w:r>
    </w:p>
    <w:p w14:paraId="0B0C826F"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III. Results of the offering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39"/>
        <w:gridCol w:w="1451"/>
        <w:gridCol w:w="1443"/>
        <w:gridCol w:w="1445"/>
        <w:gridCol w:w="1356"/>
        <w:gridCol w:w="1264"/>
        <w:gridCol w:w="1174"/>
        <w:gridCol w:w="1434"/>
        <w:gridCol w:w="1440"/>
        <w:gridCol w:w="1266"/>
      </w:tblGrid>
      <w:tr w:rsidR="00882305" w:rsidRPr="00882305" w14:paraId="5A112C97" w14:textId="77777777" w:rsidTr="0052113E">
        <w:trPr>
          <w:trHeight w:val="1712"/>
        </w:trPr>
        <w:tc>
          <w:tcPr>
            <w:tcW w:w="596" w:type="pct"/>
            <w:shd w:val="clear" w:color="auto" w:fill="auto"/>
            <w:tcMar>
              <w:top w:w="0" w:type="dxa"/>
              <w:bottom w:w="0" w:type="dxa"/>
            </w:tcMar>
            <w:vAlign w:val="center"/>
          </w:tcPr>
          <w:p w14:paraId="79F49365"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Eligible buyers</w:t>
            </w:r>
          </w:p>
        </w:tc>
        <w:tc>
          <w:tcPr>
            <w:tcW w:w="533" w:type="pct"/>
            <w:gridSpan w:val="2"/>
            <w:shd w:val="clear" w:color="auto" w:fill="auto"/>
            <w:tcMar>
              <w:top w:w="0" w:type="dxa"/>
              <w:bottom w:w="0" w:type="dxa"/>
            </w:tcMar>
            <w:vAlign w:val="center"/>
          </w:tcPr>
          <w:p w14:paraId="36C776F0"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Offering price (VND/bond)</w:t>
            </w:r>
          </w:p>
        </w:tc>
        <w:tc>
          <w:tcPr>
            <w:tcW w:w="516" w:type="pct"/>
            <w:shd w:val="clear" w:color="auto" w:fill="auto"/>
            <w:tcMar>
              <w:top w:w="0" w:type="dxa"/>
              <w:bottom w:w="0" w:type="dxa"/>
            </w:tcMar>
            <w:vAlign w:val="center"/>
          </w:tcPr>
          <w:p w14:paraId="1D2AA8BC"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Number of offered bonds</w:t>
            </w:r>
          </w:p>
        </w:tc>
        <w:tc>
          <w:tcPr>
            <w:tcW w:w="517" w:type="pct"/>
            <w:shd w:val="clear" w:color="auto" w:fill="auto"/>
            <w:tcMar>
              <w:top w:w="0" w:type="dxa"/>
              <w:bottom w:w="0" w:type="dxa"/>
            </w:tcMar>
            <w:vAlign w:val="center"/>
          </w:tcPr>
          <w:p w14:paraId="0897FC15"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Number of bonds registered to purchase</w:t>
            </w:r>
          </w:p>
        </w:tc>
        <w:tc>
          <w:tcPr>
            <w:tcW w:w="485" w:type="pct"/>
            <w:shd w:val="clear" w:color="auto" w:fill="auto"/>
            <w:tcMar>
              <w:top w:w="0" w:type="dxa"/>
              <w:bottom w:w="0" w:type="dxa"/>
            </w:tcMar>
            <w:vAlign w:val="center"/>
          </w:tcPr>
          <w:p w14:paraId="49AE658E"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Number of bonds to be distributed</w:t>
            </w:r>
          </w:p>
        </w:tc>
        <w:tc>
          <w:tcPr>
            <w:tcW w:w="452" w:type="pct"/>
            <w:shd w:val="clear" w:color="auto" w:fill="auto"/>
            <w:tcMar>
              <w:top w:w="0" w:type="dxa"/>
              <w:bottom w:w="0" w:type="dxa"/>
            </w:tcMar>
            <w:vAlign w:val="center"/>
          </w:tcPr>
          <w:p w14:paraId="427ACDB4"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Number of investors registered to buy</w:t>
            </w:r>
          </w:p>
        </w:tc>
        <w:tc>
          <w:tcPr>
            <w:tcW w:w="420" w:type="pct"/>
            <w:shd w:val="clear" w:color="auto" w:fill="auto"/>
            <w:tcMar>
              <w:top w:w="0" w:type="dxa"/>
              <w:bottom w:w="0" w:type="dxa"/>
            </w:tcMar>
            <w:vAlign w:val="center"/>
          </w:tcPr>
          <w:p w14:paraId="7C32596A"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Numbers of investors with distributed bonds</w:t>
            </w:r>
          </w:p>
        </w:tc>
        <w:tc>
          <w:tcPr>
            <w:tcW w:w="513" w:type="pct"/>
            <w:shd w:val="clear" w:color="auto" w:fill="auto"/>
            <w:tcMar>
              <w:top w:w="0" w:type="dxa"/>
              <w:bottom w:w="0" w:type="dxa"/>
            </w:tcMar>
            <w:vAlign w:val="center"/>
          </w:tcPr>
          <w:p w14:paraId="329D2E58"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Numbers of investors without distributed bonds</w:t>
            </w:r>
          </w:p>
        </w:tc>
        <w:tc>
          <w:tcPr>
            <w:tcW w:w="515" w:type="pct"/>
            <w:shd w:val="clear" w:color="auto" w:fill="auto"/>
            <w:tcMar>
              <w:top w:w="0" w:type="dxa"/>
              <w:bottom w:w="0" w:type="dxa"/>
            </w:tcMar>
            <w:vAlign w:val="center"/>
          </w:tcPr>
          <w:p w14:paraId="5307C31B"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Number of remaining bonds</w:t>
            </w:r>
          </w:p>
        </w:tc>
        <w:tc>
          <w:tcPr>
            <w:tcW w:w="453" w:type="pct"/>
            <w:shd w:val="clear" w:color="auto" w:fill="auto"/>
            <w:tcMar>
              <w:top w:w="0" w:type="dxa"/>
              <w:bottom w:w="0" w:type="dxa"/>
            </w:tcMar>
            <w:vAlign w:val="center"/>
          </w:tcPr>
          <w:p w14:paraId="6BD4B42E"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Rate of distributed bonds</w:t>
            </w:r>
          </w:p>
        </w:tc>
      </w:tr>
      <w:tr w:rsidR="00882305" w:rsidRPr="00882305" w14:paraId="79A38F2B" w14:textId="77777777" w:rsidTr="00882305">
        <w:tc>
          <w:tcPr>
            <w:tcW w:w="596" w:type="pct"/>
            <w:shd w:val="clear" w:color="auto" w:fill="auto"/>
            <w:tcMar>
              <w:top w:w="0" w:type="dxa"/>
              <w:bottom w:w="0" w:type="dxa"/>
            </w:tcMar>
            <w:vAlign w:val="center"/>
          </w:tcPr>
          <w:p w14:paraId="5FE87BA3"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1</w:t>
            </w:r>
          </w:p>
        </w:tc>
        <w:tc>
          <w:tcPr>
            <w:tcW w:w="533" w:type="pct"/>
            <w:gridSpan w:val="2"/>
            <w:shd w:val="clear" w:color="auto" w:fill="auto"/>
            <w:tcMar>
              <w:top w:w="0" w:type="dxa"/>
              <w:bottom w:w="0" w:type="dxa"/>
            </w:tcMar>
            <w:vAlign w:val="center"/>
          </w:tcPr>
          <w:p w14:paraId="74DC13CC"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2</w:t>
            </w:r>
          </w:p>
        </w:tc>
        <w:tc>
          <w:tcPr>
            <w:tcW w:w="516" w:type="pct"/>
            <w:shd w:val="clear" w:color="auto" w:fill="auto"/>
            <w:tcMar>
              <w:top w:w="0" w:type="dxa"/>
              <w:bottom w:w="0" w:type="dxa"/>
            </w:tcMar>
            <w:vAlign w:val="center"/>
          </w:tcPr>
          <w:p w14:paraId="39F0756B"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3</w:t>
            </w:r>
          </w:p>
        </w:tc>
        <w:tc>
          <w:tcPr>
            <w:tcW w:w="517" w:type="pct"/>
            <w:shd w:val="clear" w:color="auto" w:fill="auto"/>
            <w:tcMar>
              <w:top w:w="0" w:type="dxa"/>
              <w:bottom w:w="0" w:type="dxa"/>
            </w:tcMar>
            <w:vAlign w:val="center"/>
          </w:tcPr>
          <w:p w14:paraId="58D54A88"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4</w:t>
            </w:r>
          </w:p>
        </w:tc>
        <w:tc>
          <w:tcPr>
            <w:tcW w:w="485" w:type="pct"/>
            <w:shd w:val="clear" w:color="auto" w:fill="auto"/>
            <w:tcMar>
              <w:top w:w="0" w:type="dxa"/>
              <w:bottom w:w="0" w:type="dxa"/>
            </w:tcMar>
            <w:vAlign w:val="center"/>
          </w:tcPr>
          <w:p w14:paraId="09993A3F"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5</w:t>
            </w:r>
          </w:p>
        </w:tc>
        <w:tc>
          <w:tcPr>
            <w:tcW w:w="452" w:type="pct"/>
            <w:shd w:val="clear" w:color="auto" w:fill="auto"/>
            <w:tcMar>
              <w:top w:w="0" w:type="dxa"/>
              <w:bottom w:w="0" w:type="dxa"/>
            </w:tcMar>
            <w:vAlign w:val="center"/>
          </w:tcPr>
          <w:p w14:paraId="565C3982"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6</w:t>
            </w:r>
          </w:p>
        </w:tc>
        <w:tc>
          <w:tcPr>
            <w:tcW w:w="420" w:type="pct"/>
            <w:shd w:val="clear" w:color="auto" w:fill="auto"/>
            <w:tcMar>
              <w:top w:w="0" w:type="dxa"/>
              <w:bottom w:w="0" w:type="dxa"/>
            </w:tcMar>
            <w:vAlign w:val="center"/>
          </w:tcPr>
          <w:p w14:paraId="2B171A07"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7</w:t>
            </w:r>
          </w:p>
        </w:tc>
        <w:tc>
          <w:tcPr>
            <w:tcW w:w="513" w:type="pct"/>
            <w:shd w:val="clear" w:color="auto" w:fill="auto"/>
            <w:tcMar>
              <w:top w:w="0" w:type="dxa"/>
              <w:bottom w:w="0" w:type="dxa"/>
            </w:tcMar>
            <w:vAlign w:val="center"/>
          </w:tcPr>
          <w:p w14:paraId="304E444D"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8=6-7</w:t>
            </w:r>
          </w:p>
        </w:tc>
        <w:tc>
          <w:tcPr>
            <w:tcW w:w="515" w:type="pct"/>
            <w:shd w:val="clear" w:color="auto" w:fill="auto"/>
            <w:tcMar>
              <w:top w:w="0" w:type="dxa"/>
              <w:bottom w:w="0" w:type="dxa"/>
            </w:tcMar>
            <w:vAlign w:val="center"/>
          </w:tcPr>
          <w:p w14:paraId="459F1BEF"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9=3-5</w:t>
            </w:r>
          </w:p>
        </w:tc>
        <w:tc>
          <w:tcPr>
            <w:tcW w:w="453" w:type="pct"/>
            <w:shd w:val="clear" w:color="auto" w:fill="auto"/>
            <w:tcMar>
              <w:top w:w="0" w:type="dxa"/>
              <w:bottom w:w="0" w:type="dxa"/>
            </w:tcMar>
            <w:vAlign w:val="center"/>
          </w:tcPr>
          <w:p w14:paraId="03FF7120" w14:textId="77777777" w:rsidR="00A5236D" w:rsidRPr="0052113E" w:rsidRDefault="00882305" w:rsidP="0052113E">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52113E">
              <w:rPr>
                <w:rFonts w:ascii="Arial" w:hAnsi="Arial" w:cs="Arial"/>
                <w:b/>
                <w:color w:val="010000"/>
                <w:sz w:val="20"/>
              </w:rPr>
              <w:t>10=5/3</w:t>
            </w:r>
          </w:p>
        </w:tc>
      </w:tr>
      <w:tr w:rsidR="00882305" w:rsidRPr="00882305" w14:paraId="482E7397" w14:textId="77777777" w:rsidTr="00882305">
        <w:tc>
          <w:tcPr>
            <w:tcW w:w="596" w:type="pct"/>
            <w:shd w:val="clear" w:color="auto" w:fill="auto"/>
            <w:tcMar>
              <w:top w:w="0" w:type="dxa"/>
              <w:bottom w:w="0" w:type="dxa"/>
            </w:tcMar>
            <w:vAlign w:val="center"/>
          </w:tcPr>
          <w:p w14:paraId="12B86DD1" w14:textId="77777777" w:rsidR="00A5236D" w:rsidRPr="0052113E" w:rsidRDefault="00882305" w:rsidP="00882305">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52113E">
              <w:rPr>
                <w:rFonts w:ascii="Arial" w:hAnsi="Arial" w:cs="Arial"/>
                <w:b/>
                <w:color w:val="010000"/>
                <w:sz w:val="20"/>
              </w:rPr>
              <w:lastRenderedPageBreak/>
              <w:t>1 Individual investors, in which:</w:t>
            </w:r>
          </w:p>
        </w:tc>
        <w:tc>
          <w:tcPr>
            <w:tcW w:w="533" w:type="pct"/>
            <w:gridSpan w:val="2"/>
            <w:shd w:val="clear" w:color="auto" w:fill="auto"/>
            <w:tcMar>
              <w:top w:w="0" w:type="dxa"/>
              <w:bottom w:w="0" w:type="dxa"/>
            </w:tcMar>
            <w:vAlign w:val="center"/>
          </w:tcPr>
          <w:p w14:paraId="4859B4E1"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100,000</w:t>
            </w:r>
          </w:p>
        </w:tc>
        <w:tc>
          <w:tcPr>
            <w:tcW w:w="516" w:type="pct"/>
            <w:shd w:val="clear" w:color="auto" w:fill="auto"/>
            <w:tcMar>
              <w:top w:w="0" w:type="dxa"/>
              <w:bottom w:w="0" w:type="dxa"/>
            </w:tcMar>
            <w:vAlign w:val="center"/>
          </w:tcPr>
          <w:p w14:paraId="347D004B"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28,401,951</w:t>
            </w:r>
          </w:p>
        </w:tc>
        <w:tc>
          <w:tcPr>
            <w:tcW w:w="517" w:type="pct"/>
            <w:shd w:val="clear" w:color="auto" w:fill="auto"/>
            <w:tcMar>
              <w:top w:w="0" w:type="dxa"/>
              <w:bottom w:w="0" w:type="dxa"/>
            </w:tcMar>
            <w:vAlign w:val="center"/>
          </w:tcPr>
          <w:p w14:paraId="3A810DF2"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22,832,005</w:t>
            </w:r>
          </w:p>
        </w:tc>
        <w:tc>
          <w:tcPr>
            <w:tcW w:w="485" w:type="pct"/>
            <w:shd w:val="clear" w:color="auto" w:fill="auto"/>
            <w:tcMar>
              <w:top w:w="0" w:type="dxa"/>
              <w:bottom w:w="0" w:type="dxa"/>
            </w:tcMar>
            <w:vAlign w:val="center"/>
          </w:tcPr>
          <w:p w14:paraId="0400C872"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22,832,005</w:t>
            </w:r>
          </w:p>
        </w:tc>
        <w:tc>
          <w:tcPr>
            <w:tcW w:w="452" w:type="pct"/>
            <w:shd w:val="clear" w:color="auto" w:fill="auto"/>
            <w:tcMar>
              <w:top w:w="0" w:type="dxa"/>
              <w:bottom w:w="0" w:type="dxa"/>
            </w:tcMar>
            <w:vAlign w:val="center"/>
          </w:tcPr>
          <w:p w14:paraId="2D16747D"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4,106</w:t>
            </w:r>
          </w:p>
        </w:tc>
        <w:tc>
          <w:tcPr>
            <w:tcW w:w="420" w:type="pct"/>
            <w:shd w:val="clear" w:color="auto" w:fill="auto"/>
            <w:tcMar>
              <w:top w:w="0" w:type="dxa"/>
              <w:bottom w:w="0" w:type="dxa"/>
            </w:tcMar>
            <w:vAlign w:val="center"/>
          </w:tcPr>
          <w:p w14:paraId="517FA64B"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4,106</w:t>
            </w:r>
          </w:p>
        </w:tc>
        <w:tc>
          <w:tcPr>
            <w:tcW w:w="513" w:type="pct"/>
            <w:shd w:val="clear" w:color="auto" w:fill="auto"/>
            <w:tcMar>
              <w:top w:w="0" w:type="dxa"/>
              <w:bottom w:w="0" w:type="dxa"/>
            </w:tcMar>
            <w:vAlign w:val="center"/>
          </w:tcPr>
          <w:p w14:paraId="291B5EA5"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0</w:t>
            </w:r>
          </w:p>
        </w:tc>
        <w:tc>
          <w:tcPr>
            <w:tcW w:w="515" w:type="pct"/>
            <w:shd w:val="clear" w:color="auto" w:fill="auto"/>
            <w:tcMar>
              <w:top w:w="0" w:type="dxa"/>
              <w:bottom w:w="0" w:type="dxa"/>
            </w:tcMar>
            <w:vAlign w:val="center"/>
          </w:tcPr>
          <w:p w14:paraId="1A0A99CA"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5,569,946</w:t>
            </w:r>
          </w:p>
        </w:tc>
        <w:tc>
          <w:tcPr>
            <w:tcW w:w="453" w:type="pct"/>
            <w:shd w:val="clear" w:color="auto" w:fill="auto"/>
            <w:tcMar>
              <w:top w:w="0" w:type="dxa"/>
              <w:bottom w:w="0" w:type="dxa"/>
            </w:tcMar>
            <w:vAlign w:val="center"/>
          </w:tcPr>
          <w:p w14:paraId="23BA968D"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80.39%</w:t>
            </w:r>
          </w:p>
        </w:tc>
      </w:tr>
      <w:tr w:rsidR="00882305" w:rsidRPr="00882305" w14:paraId="257181EC" w14:textId="77777777" w:rsidTr="00882305">
        <w:tc>
          <w:tcPr>
            <w:tcW w:w="596" w:type="pct"/>
            <w:shd w:val="clear" w:color="auto" w:fill="auto"/>
            <w:tcMar>
              <w:top w:w="0" w:type="dxa"/>
              <w:bottom w:w="0" w:type="dxa"/>
            </w:tcMar>
            <w:vAlign w:val="center"/>
          </w:tcPr>
          <w:p w14:paraId="391555ED"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Domestic investors</w:t>
            </w:r>
          </w:p>
        </w:tc>
        <w:tc>
          <w:tcPr>
            <w:tcW w:w="533" w:type="pct"/>
            <w:gridSpan w:val="2"/>
            <w:shd w:val="clear" w:color="auto" w:fill="auto"/>
            <w:tcMar>
              <w:top w:w="0" w:type="dxa"/>
              <w:bottom w:w="0" w:type="dxa"/>
            </w:tcMar>
            <w:vAlign w:val="center"/>
          </w:tcPr>
          <w:p w14:paraId="028E386C"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100,000</w:t>
            </w:r>
          </w:p>
        </w:tc>
        <w:tc>
          <w:tcPr>
            <w:tcW w:w="516" w:type="pct"/>
            <w:shd w:val="clear" w:color="auto" w:fill="auto"/>
            <w:tcMar>
              <w:top w:w="0" w:type="dxa"/>
              <w:bottom w:w="0" w:type="dxa"/>
            </w:tcMar>
            <w:vAlign w:val="center"/>
          </w:tcPr>
          <w:p w14:paraId="25173A1D"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28,401,951</w:t>
            </w:r>
          </w:p>
        </w:tc>
        <w:tc>
          <w:tcPr>
            <w:tcW w:w="517" w:type="pct"/>
            <w:shd w:val="clear" w:color="auto" w:fill="auto"/>
            <w:tcMar>
              <w:top w:w="0" w:type="dxa"/>
              <w:bottom w:w="0" w:type="dxa"/>
            </w:tcMar>
            <w:vAlign w:val="center"/>
          </w:tcPr>
          <w:p w14:paraId="071D2AD4"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22,761,271</w:t>
            </w:r>
          </w:p>
        </w:tc>
        <w:tc>
          <w:tcPr>
            <w:tcW w:w="485" w:type="pct"/>
            <w:shd w:val="clear" w:color="auto" w:fill="auto"/>
            <w:tcMar>
              <w:top w:w="0" w:type="dxa"/>
              <w:bottom w:w="0" w:type="dxa"/>
            </w:tcMar>
            <w:vAlign w:val="center"/>
          </w:tcPr>
          <w:p w14:paraId="0500CBA7"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22,761,271</w:t>
            </w:r>
          </w:p>
        </w:tc>
        <w:tc>
          <w:tcPr>
            <w:tcW w:w="452" w:type="pct"/>
            <w:shd w:val="clear" w:color="auto" w:fill="auto"/>
            <w:tcMar>
              <w:top w:w="0" w:type="dxa"/>
              <w:bottom w:w="0" w:type="dxa"/>
            </w:tcMar>
            <w:vAlign w:val="center"/>
          </w:tcPr>
          <w:p w14:paraId="0A9187D5"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4,033</w:t>
            </w:r>
          </w:p>
        </w:tc>
        <w:tc>
          <w:tcPr>
            <w:tcW w:w="420" w:type="pct"/>
            <w:shd w:val="clear" w:color="auto" w:fill="auto"/>
            <w:tcMar>
              <w:top w:w="0" w:type="dxa"/>
              <w:bottom w:w="0" w:type="dxa"/>
            </w:tcMar>
            <w:vAlign w:val="center"/>
          </w:tcPr>
          <w:p w14:paraId="0C14B8C5"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4,033</w:t>
            </w:r>
          </w:p>
        </w:tc>
        <w:tc>
          <w:tcPr>
            <w:tcW w:w="513" w:type="pct"/>
            <w:shd w:val="clear" w:color="auto" w:fill="auto"/>
            <w:tcMar>
              <w:top w:w="0" w:type="dxa"/>
              <w:bottom w:w="0" w:type="dxa"/>
            </w:tcMar>
            <w:vAlign w:val="center"/>
          </w:tcPr>
          <w:p w14:paraId="12010E7F"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0</w:t>
            </w:r>
          </w:p>
        </w:tc>
        <w:tc>
          <w:tcPr>
            <w:tcW w:w="515" w:type="pct"/>
            <w:shd w:val="clear" w:color="auto" w:fill="auto"/>
            <w:tcMar>
              <w:top w:w="0" w:type="dxa"/>
              <w:bottom w:w="0" w:type="dxa"/>
            </w:tcMar>
            <w:vAlign w:val="center"/>
          </w:tcPr>
          <w:p w14:paraId="4D95E911"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5,640,680</w:t>
            </w:r>
          </w:p>
        </w:tc>
        <w:tc>
          <w:tcPr>
            <w:tcW w:w="453" w:type="pct"/>
            <w:shd w:val="clear" w:color="auto" w:fill="auto"/>
            <w:tcMar>
              <w:top w:w="0" w:type="dxa"/>
              <w:bottom w:w="0" w:type="dxa"/>
            </w:tcMar>
            <w:vAlign w:val="center"/>
          </w:tcPr>
          <w:p w14:paraId="0B1AFD3B"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80.14%</w:t>
            </w:r>
          </w:p>
        </w:tc>
      </w:tr>
      <w:tr w:rsidR="00882305" w:rsidRPr="00882305" w14:paraId="49837801" w14:textId="77777777" w:rsidTr="00882305">
        <w:tc>
          <w:tcPr>
            <w:tcW w:w="596" w:type="pct"/>
            <w:shd w:val="clear" w:color="auto" w:fill="auto"/>
            <w:tcMar>
              <w:top w:w="0" w:type="dxa"/>
              <w:bottom w:w="0" w:type="dxa"/>
            </w:tcMar>
            <w:vAlign w:val="center"/>
          </w:tcPr>
          <w:p w14:paraId="0E920B23"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Foreign investors, economic organizations in which foreign investors hold more than 50% of charter capital</w:t>
            </w:r>
          </w:p>
        </w:tc>
        <w:tc>
          <w:tcPr>
            <w:tcW w:w="533" w:type="pct"/>
            <w:gridSpan w:val="2"/>
            <w:shd w:val="clear" w:color="auto" w:fill="auto"/>
            <w:tcMar>
              <w:top w:w="0" w:type="dxa"/>
              <w:bottom w:w="0" w:type="dxa"/>
            </w:tcMar>
            <w:vAlign w:val="center"/>
          </w:tcPr>
          <w:p w14:paraId="13C1ED5F"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100,000</w:t>
            </w:r>
          </w:p>
        </w:tc>
        <w:tc>
          <w:tcPr>
            <w:tcW w:w="516" w:type="pct"/>
            <w:shd w:val="clear" w:color="auto" w:fill="auto"/>
            <w:tcMar>
              <w:top w:w="0" w:type="dxa"/>
              <w:bottom w:w="0" w:type="dxa"/>
            </w:tcMar>
            <w:vAlign w:val="center"/>
          </w:tcPr>
          <w:p w14:paraId="11BC1D12"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28,401,951</w:t>
            </w:r>
          </w:p>
        </w:tc>
        <w:tc>
          <w:tcPr>
            <w:tcW w:w="517" w:type="pct"/>
            <w:shd w:val="clear" w:color="auto" w:fill="auto"/>
            <w:tcMar>
              <w:top w:w="0" w:type="dxa"/>
              <w:bottom w:w="0" w:type="dxa"/>
            </w:tcMar>
            <w:vAlign w:val="center"/>
          </w:tcPr>
          <w:p w14:paraId="78B400EB"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70,734</w:t>
            </w:r>
          </w:p>
        </w:tc>
        <w:tc>
          <w:tcPr>
            <w:tcW w:w="485" w:type="pct"/>
            <w:shd w:val="clear" w:color="auto" w:fill="auto"/>
            <w:tcMar>
              <w:top w:w="0" w:type="dxa"/>
              <w:bottom w:w="0" w:type="dxa"/>
            </w:tcMar>
            <w:vAlign w:val="center"/>
          </w:tcPr>
          <w:p w14:paraId="2C943F38"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70,734</w:t>
            </w:r>
          </w:p>
        </w:tc>
        <w:tc>
          <w:tcPr>
            <w:tcW w:w="452" w:type="pct"/>
            <w:shd w:val="clear" w:color="auto" w:fill="auto"/>
            <w:tcMar>
              <w:top w:w="0" w:type="dxa"/>
              <w:bottom w:w="0" w:type="dxa"/>
            </w:tcMar>
            <w:vAlign w:val="center"/>
          </w:tcPr>
          <w:p w14:paraId="4E4A06F5"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73</w:t>
            </w:r>
          </w:p>
        </w:tc>
        <w:tc>
          <w:tcPr>
            <w:tcW w:w="420" w:type="pct"/>
            <w:shd w:val="clear" w:color="auto" w:fill="auto"/>
            <w:tcMar>
              <w:top w:w="0" w:type="dxa"/>
              <w:bottom w:w="0" w:type="dxa"/>
            </w:tcMar>
            <w:vAlign w:val="center"/>
          </w:tcPr>
          <w:p w14:paraId="08F9C704"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73</w:t>
            </w:r>
          </w:p>
        </w:tc>
        <w:tc>
          <w:tcPr>
            <w:tcW w:w="513" w:type="pct"/>
            <w:shd w:val="clear" w:color="auto" w:fill="auto"/>
            <w:tcMar>
              <w:top w:w="0" w:type="dxa"/>
              <w:bottom w:w="0" w:type="dxa"/>
            </w:tcMar>
            <w:vAlign w:val="center"/>
          </w:tcPr>
          <w:p w14:paraId="7154880B"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0</w:t>
            </w:r>
          </w:p>
        </w:tc>
        <w:tc>
          <w:tcPr>
            <w:tcW w:w="515" w:type="pct"/>
            <w:shd w:val="clear" w:color="auto" w:fill="auto"/>
            <w:tcMar>
              <w:top w:w="0" w:type="dxa"/>
              <w:bottom w:w="0" w:type="dxa"/>
            </w:tcMar>
            <w:vAlign w:val="center"/>
          </w:tcPr>
          <w:p w14:paraId="52F3F28D"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28,331,217</w:t>
            </w:r>
          </w:p>
        </w:tc>
        <w:tc>
          <w:tcPr>
            <w:tcW w:w="453" w:type="pct"/>
            <w:shd w:val="clear" w:color="auto" w:fill="auto"/>
            <w:tcMar>
              <w:top w:w="0" w:type="dxa"/>
              <w:bottom w:w="0" w:type="dxa"/>
            </w:tcMar>
            <w:vAlign w:val="center"/>
          </w:tcPr>
          <w:p w14:paraId="73ACDC11"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0.25%</w:t>
            </w:r>
          </w:p>
        </w:tc>
      </w:tr>
      <w:tr w:rsidR="00882305" w:rsidRPr="00882305" w14:paraId="016937CD" w14:textId="77777777" w:rsidTr="00882305">
        <w:tc>
          <w:tcPr>
            <w:tcW w:w="596" w:type="pct"/>
            <w:shd w:val="clear" w:color="auto" w:fill="auto"/>
            <w:tcMar>
              <w:top w:w="0" w:type="dxa"/>
              <w:bottom w:w="0" w:type="dxa"/>
            </w:tcMar>
            <w:vAlign w:val="center"/>
          </w:tcPr>
          <w:p w14:paraId="539F93B5" w14:textId="77777777" w:rsidR="00A5236D" w:rsidRPr="0052113E" w:rsidRDefault="00882305" w:rsidP="00882305">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52113E">
              <w:rPr>
                <w:rFonts w:ascii="Arial" w:hAnsi="Arial" w:cs="Arial"/>
                <w:b/>
                <w:color w:val="010000"/>
                <w:sz w:val="20"/>
              </w:rPr>
              <w:t>2. Institutional investors, in which:</w:t>
            </w:r>
          </w:p>
        </w:tc>
        <w:tc>
          <w:tcPr>
            <w:tcW w:w="533" w:type="pct"/>
            <w:gridSpan w:val="2"/>
            <w:shd w:val="clear" w:color="auto" w:fill="auto"/>
            <w:tcMar>
              <w:top w:w="0" w:type="dxa"/>
              <w:bottom w:w="0" w:type="dxa"/>
            </w:tcMar>
            <w:vAlign w:val="center"/>
          </w:tcPr>
          <w:p w14:paraId="2BF25C53"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100,000</w:t>
            </w:r>
          </w:p>
        </w:tc>
        <w:tc>
          <w:tcPr>
            <w:tcW w:w="516" w:type="pct"/>
            <w:shd w:val="clear" w:color="auto" w:fill="auto"/>
            <w:tcMar>
              <w:top w:w="0" w:type="dxa"/>
              <w:bottom w:w="0" w:type="dxa"/>
            </w:tcMar>
            <w:vAlign w:val="center"/>
          </w:tcPr>
          <w:p w14:paraId="0BCCA044"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28,401,951</w:t>
            </w:r>
          </w:p>
        </w:tc>
        <w:tc>
          <w:tcPr>
            <w:tcW w:w="517" w:type="pct"/>
            <w:shd w:val="clear" w:color="auto" w:fill="auto"/>
            <w:tcMar>
              <w:top w:w="0" w:type="dxa"/>
              <w:bottom w:w="0" w:type="dxa"/>
            </w:tcMar>
            <w:vAlign w:val="center"/>
          </w:tcPr>
          <w:p w14:paraId="442D0873"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5,298,684</w:t>
            </w:r>
          </w:p>
        </w:tc>
        <w:tc>
          <w:tcPr>
            <w:tcW w:w="485" w:type="pct"/>
            <w:shd w:val="clear" w:color="auto" w:fill="auto"/>
            <w:tcMar>
              <w:top w:w="0" w:type="dxa"/>
              <w:bottom w:w="0" w:type="dxa"/>
            </w:tcMar>
            <w:vAlign w:val="center"/>
          </w:tcPr>
          <w:p w14:paraId="0EAA0304"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5,298,684</w:t>
            </w:r>
          </w:p>
        </w:tc>
        <w:tc>
          <w:tcPr>
            <w:tcW w:w="452" w:type="pct"/>
            <w:shd w:val="clear" w:color="auto" w:fill="auto"/>
            <w:tcMar>
              <w:top w:w="0" w:type="dxa"/>
              <w:bottom w:w="0" w:type="dxa"/>
            </w:tcMar>
            <w:vAlign w:val="center"/>
          </w:tcPr>
          <w:p w14:paraId="2B425EC3"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24</w:t>
            </w:r>
          </w:p>
        </w:tc>
        <w:tc>
          <w:tcPr>
            <w:tcW w:w="420" w:type="pct"/>
            <w:shd w:val="clear" w:color="auto" w:fill="auto"/>
            <w:tcMar>
              <w:top w:w="0" w:type="dxa"/>
              <w:bottom w:w="0" w:type="dxa"/>
            </w:tcMar>
            <w:vAlign w:val="center"/>
          </w:tcPr>
          <w:p w14:paraId="2C3A1C0F"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24</w:t>
            </w:r>
          </w:p>
        </w:tc>
        <w:tc>
          <w:tcPr>
            <w:tcW w:w="513" w:type="pct"/>
            <w:shd w:val="clear" w:color="auto" w:fill="auto"/>
            <w:tcMar>
              <w:top w:w="0" w:type="dxa"/>
              <w:bottom w:w="0" w:type="dxa"/>
            </w:tcMar>
            <w:vAlign w:val="center"/>
          </w:tcPr>
          <w:p w14:paraId="4C532E49"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0</w:t>
            </w:r>
          </w:p>
        </w:tc>
        <w:tc>
          <w:tcPr>
            <w:tcW w:w="515" w:type="pct"/>
            <w:shd w:val="clear" w:color="auto" w:fill="auto"/>
            <w:tcMar>
              <w:top w:w="0" w:type="dxa"/>
              <w:bottom w:w="0" w:type="dxa"/>
            </w:tcMar>
            <w:vAlign w:val="center"/>
          </w:tcPr>
          <w:p w14:paraId="2E238142"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23,103,267</w:t>
            </w:r>
          </w:p>
        </w:tc>
        <w:tc>
          <w:tcPr>
            <w:tcW w:w="453" w:type="pct"/>
            <w:shd w:val="clear" w:color="auto" w:fill="auto"/>
            <w:tcMar>
              <w:top w:w="0" w:type="dxa"/>
              <w:bottom w:w="0" w:type="dxa"/>
            </w:tcMar>
            <w:vAlign w:val="center"/>
          </w:tcPr>
          <w:p w14:paraId="2322998B" w14:textId="77777777" w:rsidR="00A5236D" w:rsidRPr="0052113E"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52113E">
              <w:rPr>
                <w:rFonts w:ascii="Arial" w:hAnsi="Arial" w:cs="Arial"/>
                <w:b/>
                <w:color w:val="010000"/>
                <w:sz w:val="20"/>
              </w:rPr>
              <w:t>18.66%</w:t>
            </w:r>
          </w:p>
        </w:tc>
      </w:tr>
      <w:tr w:rsidR="00882305" w:rsidRPr="00882305" w14:paraId="37837CFD" w14:textId="77777777" w:rsidTr="00882305">
        <w:tc>
          <w:tcPr>
            <w:tcW w:w="610" w:type="pct"/>
            <w:gridSpan w:val="2"/>
            <w:shd w:val="clear" w:color="auto" w:fill="auto"/>
            <w:tcMar>
              <w:top w:w="0" w:type="dxa"/>
              <w:bottom w:w="0" w:type="dxa"/>
            </w:tcMar>
            <w:vAlign w:val="center"/>
          </w:tcPr>
          <w:p w14:paraId="3C8E5FD5" w14:textId="77777777" w:rsidR="00A5236D" w:rsidRPr="00882305" w:rsidRDefault="00882305" w:rsidP="00F4313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Foreign investors, economic organizations in which foreign investors hold more than 50% of charter capital</w:t>
            </w:r>
          </w:p>
        </w:tc>
        <w:tc>
          <w:tcPr>
            <w:tcW w:w="519" w:type="pct"/>
            <w:shd w:val="clear" w:color="auto" w:fill="auto"/>
            <w:tcMar>
              <w:top w:w="0" w:type="dxa"/>
              <w:bottom w:w="0" w:type="dxa"/>
            </w:tcMar>
            <w:vAlign w:val="center"/>
          </w:tcPr>
          <w:p w14:paraId="3CFF363D"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100,000</w:t>
            </w:r>
          </w:p>
        </w:tc>
        <w:tc>
          <w:tcPr>
            <w:tcW w:w="516" w:type="pct"/>
            <w:shd w:val="clear" w:color="auto" w:fill="auto"/>
            <w:tcMar>
              <w:top w:w="0" w:type="dxa"/>
              <w:bottom w:w="0" w:type="dxa"/>
            </w:tcMar>
            <w:vAlign w:val="center"/>
          </w:tcPr>
          <w:p w14:paraId="25D08885"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28,401,951</w:t>
            </w:r>
          </w:p>
        </w:tc>
        <w:tc>
          <w:tcPr>
            <w:tcW w:w="517" w:type="pct"/>
            <w:shd w:val="clear" w:color="auto" w:fill="auto"/>
            <w:tcMar>
              <w:top w:w="0" w:type="dxa"/>
              <w:bottom w:w="0" w:type="dxa"/>
            </w:tcMar>
            <w:vAlign w:val="center"/>
          </w:tcPr>
          <w:p w14:paraId="4C121F4C"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5,066,340</w:t>
            </w:r>
          </w:p>
        </w:tc>
        <w:tc>
          <w:tcPr>
            <w:tcW w:w="485" w:type="pct"/>
            <w:shd w:val="clear" w:color="auto" w:fill="auto"/>
            <w:tcMar>
              <w:top w:w="0" w:type="dxa"/>
              <w:bottom w:w="0" w:type="dxa"/>
            </w:tcMar>
            <w:vAlign w:val="center"/>
          </w:tcPr>
          <w:p w14:paraId="6E477D4D"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5,066,340</w:t>
            </w:r>
          </w:p>
        </w:tc>
        <w:tc>
          <w:tcPr>
            <w:tcW w:w="452" w:type="pct"/>
            <w:shd w:val="clear" w:color="auto" w:fill="auto"/>
            <w:tcMar>
              <w:top w:w="0" w:type="dxa"/>
              <w:bottom w:w="0" w:type="dxa"/>
            </w:tcMar>
            <w:vAlign w:val="center"/>
          </w:tcPr>
          <w:p w14:paraId="479ED2E1"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15</w:t>
            </w:r>
          </w:p>
        </w:tc>
        <w:tc>
          <w:tcPr>
            <w:tcW w:w="420" w:type="pct"/>
            <w:shd w:val="clear" w:color="auto" w:fill="auto"/>
            <w:tcMar>
              <w:top w:w="0" w:type="dxa"/>
              <w:bottom w:w="0" w:type="dxa"/>
            </w:tcMar>
            <w:vAlign w:val="center"/>
          </w:tcPr>
          <w:p w14:paraId="330CEEC3"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15</w:t>
            </w:r>
          </w:p>
        </w:tc>
        <w:tc>
          <w:tcPr>
            <w:tcW w:w="513" w:type="pct"/>
            <w:shd w:val="clear" w:color="auto" w:fill="auto"/>
            <w:tcMar>
              <w:top w:w="0" w:type="dxa"/>
              <w:bottom w:w="0" w:type="dxa"/>
            </w:tcMar>
            <w:vAlign w:val="center"/>
          </w:tcPr>
          <w:p w14:paraId="12306D55"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0</w:t>
            </w:r>
          </w:p>
        </w:tc>
        <w:tc>
          <w:tcPr>
            <w:tcW w:w="515" w:type="pct"/>
            <w:shd w:val="clear" w:color="auto" w:fill="auto"/>
            <w:tcMar>
              <w:top w:w="0" w:type="dxa"/>
              <w:bottom w:w="0" w:type="dxa"/>
            </w:tcMar>
            <w:vAlign w:val="center"/>
          </w:tcPr>
          <w:p w14:paraId="66DF1C16" w14:textId="44789AE9"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23,335</w:t>
            </w:r>
            <w:r>
              <w:rPr>
                <w:rFonts w:ascii="Arial" w:hAnsi="Arial" w:cs="Arial"/>
                <w:color w:val="010000"/>
                <w:sz w:val="20"/>
              </w:rPr>
              <w:t>,</w:t>
            </w:r>
            <w:r w:rsidRPr="00882305">
              <w:rPr>
                <w:rFonts w:ascii="Arial" w:hAnsi="Arial" w:cs="Arial"/>
                <w:color w:val="010000"/>
                <w:sz w:val="20"/>
              </w:rPr>
              <w:t>611</w:t>
            </w:r>
          </w:p>
        </w:tc>
        <w:tc>
          <w:tcPr>
            <w:tcW w:w="453" w:type="pct"/>
            <w:shd w:val="clear" w:color="auto" w:fill="auto"/>
            <w:tcMar>
              <w:top w:w="0" w:type="dxa"/>
              <w:bottom w:w="0" w:type="dxa"/>
            </w:tcMar>
            <w:vAlign w:val="center"/>
          </w:tcPr>
          <w:p w14:paraId="18455967"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17.84%</w:t>
            </w:r>
          </w:p>
        </w:tc>
      </w:tr>
      <w:tr w:rsidR="00882305" w:rsidRPr="00882305" w14:paraId="48D9B64E" w14:textId="77777777" w:rsidTr="00882305">
        <w:tc>
          <w:tcPr>
            <w:tcW w:w="610" w:type="pct"/>
            <w:gridSpan w:val="2"/>
            <w:shd w:val="clear" w:color="auto" w:fill="auto"/>
            <w:tcMar>
              <w:top w:w="0" w:type="dxa"/>
              <w:bottom w:w="0" w:type="dxa"/>
            </w:tcMar>
            <w:vAlign w:val="center"/>
          </w:tcPr>
          <w:p w14:paraId="4A5ED512" w14:textId="77777777" w:rsidR="00A5236D" w:rsidRPr="00882305" w:rsidRDefault="00882305" w:rsidP="00F4313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 xml:space="preserve">Foreign investors, economic </w:t>
            </w:r>
            <w:r w:rsidRPr="00882305">
              <w:rPr>
                <w:rFonts w:ascii="Arial" w:hAnsi="Arial" w:cs="Arial"/>
                <w:color w:val="010000"/>
                <w:sz w:val="20"/>
              </w:rPr>
              <w:lastRenderedPageBreak/>
              <w:t>organizations in which foreign investors hold more than 50% of charter capital</w:t>
            </w:r>
          </w:p>
        </w:tc>
        <w:tc>
          <w:tcPr>
            <w:tcW w:w="519" w:type="pct"/>
            <w:shd w:val="clear" w:color="auto" w:fill="auto"/>
            <w:tcMar>
              <w:top w:w="0" w:type="dxa"/>
              <w:bottom w:w="0" w:type="dxa"/>
            </w:tcMar>
            <w:vAlign w:val="center"/>
          </w:tcPr>
          <w:p w14:paraId="3320E13E"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lastRenderedPageBreak/>
              <w:t>100,000</w:t>
            </w:r>
          </w:p>
        </w:tc>
        <w:tc>
          <w:tcPr>
            <w:tcW w:w="516" w:type="pct"/>
            <w:shd w:val="clear" w:color="auto" w:fill="auto"/>
            <w:tcMar>
              <w:top w:w="0" w:type="dxa"/>
              <w:bottom w:w="0" w:type="dxa"/>
            </w:tcMar>
            <w:vAlign w:val="center"/>
          </w:tcPr>
          <w:p w14:paraId="0F6DC8DD"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28,401,951</w:t>
            </w:r>
          </w:p>
        </w:tc>
        <w:tc>
          <w:tcPr>
            <w:tcW w:w="517" w:type="pct"/>
            <w:shd w:val="clear" w:color="auto" w:fill="auto"/>
            <w:tcMar>
              <w:top w:w="0" w:type="dxa"/>
              <w:bottom w:w="0" w:type="dxa"/>
            </w:tcMar>
            <w:vAlign w:val="center"/>
          </w:tcPr>
          <w:p w14:paraId="01BF88C0"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232,344</w:t>
            </w:r>
          </w:p>
        </w:tc>
        <w:tc>
          <w:tcPr>
            <w:tcW w:w="485" w:type="pct"/>
            <w:shd w:val="clear" w:color="auto" w:fill="auto"/>
            <w:tcMar>
              <w:top w:w="0" w:type="dxa"/>
              <w:bottom w:w="0" w:type="dxa"/>
            </w:tcMar>
            <w:vAlign w:val="center"/>
          </w:tcPr>
          <w:p w14:paraId="2BEDE5A6"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232,344</w:t>
            </w:r>
          </w:p>
        </w:tc>
        <w:tc>
          <w:tcPr>
            <w:tcW w:w="452" w:type="pct"/>
            <w:shd w:val="clear" w:color="auto" w:fill="auto"/>
            <w:tcMar>
              <w:top w:w="0" w:type="dxa"/>
              <w:bottom w:w="0" w:type="dxa"/>
            </w:tcMar>
            <w:vAlign w:val="center"/>
          </w:tcPr>
          <w:p w14:paraId="608FD81D"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9</w:t>
            </w:r>
          </w:p>
        </w:tc>
        <w:tc>
          <w:tcPr>
            <w:tcW w:w="420" w:type="pct"/>
            <w:shd w:val="clear" w:color="auto" w:fill="auto"/>
            <w:tcMar>
              <w:top w:w="0" w:type="dxa"/>
              <w:bottom w:w="0" w:type="dxa"/>
            </w:tcMar>
            <w:vAlign w:val="center"/>
          </w:tcPr>
          <w:p w14:paraId="0962B3F8"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9</w:t>
            </w:r>
          </w:p>
        </w:tc>
        <w:tc>
          <w:tcPr>
            <w:tcW w:w="513" w:type="pct"/>
            <w:shd w:val="clear" w:color="auto" w:fill="auto"/>
            <w:tcMar>
              <w:top w:w="0" w:type="dxa"/>
              <w:bottom w:w="0" w:type="dxa"/>
            </w:tcMar>
            <w:vAlign w:val="center"/>
          </w:tcPr>
          <w:p w14:paraId="2A9EE5FF"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0</w:t>
            </w:r>
          </w:p>
        </w:tc>
        <w:tc>
          <w:tcPr>
            <w:tcW w:w="515" w:type="pct"/>
            <w:shd w:val="clear" w:color="auto" w:fill="auto"/>
            <w:tcMar>
              <w:top w:w="0" w:type="dxa"/>
              <w:bottom w:w="0" w:type="dxa"/>
            </w:tcMar>
            <w:vAlign w:val="center"/>
          </w:tcPr>
          <w:p w14:paraId="2CEA2441"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28,169,607</w:t>
            </w:r>
          </w:p>
        </w:tc>
        <w:tc>
          <w:tcPr>
            <w:tcW w:w="453" w:type="pct"/>
            <w:shd w:val="clear" w:color="auto" w:fill="auto"/>
            <w:tcMar>
              <w:top w:w="0" w:type="dxa"/>
              <w:bottom w:w="0" w:type="dxa"/>
            </w:tcMar>
            <w:vAlign w:val="center"/>
          </w:tcPr>
          <w:p w14:paraId="2D7DA96E" w14:textId="77777777" w:rsidR="00A5236D" w:rsidRPr="00882305"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0.82%</w:t>
            </w:r>
          </w:p>
        </w:tc>
      </w:tr>
      <w:tr w:rsidR="00882305" w:rsidRPr="00882305" w14:paraId="60BF41F2" w14:textId="77777777" w:rsidTr="00882305">
        <w:tc>
          <w:tcPr>
            <w:tcW w:w="610" w:type="pct"/>
            <w:gridSpan w:val="2"/>
            <w:shd w:val="clear" w:color="auto" w:fill="auto"/>
            <w:tcMar>
              <w:top w:w="0" w:type="dxa"/>
              <w:bottom w:w="0" w:type="dxa"/>
            </w:tcMar>
            <w:vAlign w:val="center"/>
          </w:tcPr>
          <w:p w14:paraId="6333A3E7" w14:textId="77777777" w:rsidR="00A5236D" w:rsidRPr="00F43132" w:rsidRDefault="00882305" w:rsidP="00F43132">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43132">
              <w:rPr>
                <w:rFonts w:ascii="Arial" w:hAnsi="Arial" w:cs="Arial"/>
                <w:b/>
                <w:color w:val="010000"/>
                <w:sz w:val="20"/>
              </w:rPr>
              <w:lastRenderedPageBreak/>
              <w:t>Total</w:t>
            </w:r>
          </w:p>
        </w:tc>
        <w:tc>
          <w:tcPr>
            <w:tcW w:w="519" w:type="pct"/>
            <w:shd w:val="clear" w:color="auto" w:fill="auto"/>
            <w:tcMar>
              <w:top w:w="0" w:type="dxa"/>
              <w:bottom w:w="0" w:type="dxa"/>
            </w:tcMar>
            <w:vAlign w:val="center"/>
          </w:tcPr>
          <w:p w14:paraId="4F23BF64" w14:textId="77777777" w:rsidR="00A5236D" w:rsidRPr="00F43132" w:rsidRDefault="00A5236D" w:rsidP="0052113E">
            <w:pPr>
              <w:tabs>
                <w:tab w:val="left" w:pos="360"/>
              </w:tabs>
              <w:spacing w:after="120" w:line="360" w:lineRule="auto"/>
              <w:jc w:val="right"/>
              <w:rPr>
                <w:rFonts w:ascii="Arial" w:eastAsia="Arial" w:hAnsi="Arial" w:cs="Arial"/>
                <w:b/>
                <w:color w:val="010000"/>
                <w:sz w:val="20"/>
                <w:szCs w:val="20"/>
              </w:rPr>
            </w:pPr>
          </w:p>
        </w:tc>
        <w:tc>
          <w:tcPr>
            <w:tcW w:w="516" w:type="pct"/>
            <w:shd w:val="clear" w:color="auto" w:fill="auto"/>
            <w:tcMar>
              <w:top w:w="0" w:type="dxa"/>
              <w:bottom w:w="0" w:type="dxa"/>
            </w:tcMar>
            <w:vAlign w:val="center"/>
          </w:tcPr>
          <w:p w14:paraId="29723D71" w14:textId="77777777" w:rsidR="00A5236D" w:rsidRPr="00F43132"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F43132">
              <w:rPr>
                <w:rFonts w:ascii="Arial" w:hAnsi="Arial" w:cs="Arial"/>
                <w:b/>
                <w:color w:val="010000"/>
                <w:sz w:val="20"/>
              </w:rPr>
              <w:t>28,401,951</w:t>
            </w:r>
          </w:p>
        </w:tc>
        <w:tc>
          <w:tcPr>
            <w:tcW w:w="517" w:type="pct"/>
            <w:shd w:val="clear" w:color="auto" w:fill="auto"/>
            <w:tcMar>
              <w:top w:w="0" w:type="dxa"/>
              <w:bottom w:w="0" w:type="dxa"/>
            </w:tcMar>
            <w:vAlign w:val="center"/>
          </w:tcPr>
          <w:p w14:paraId="1EABD0EC" w14:textId="77777777" w:rsidR="00A5236D" w:rsidRPr="00F43132"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F43132">
              <w:rPr>
                <w:rFonts w:ascii="Arial" w:hAnsi="Arial" w:cs="Arial"/>
                <w:b/>
                <w:color w:val="010000"/>
                <w:sz w:val="20"/>
              </w:rPr>
              <w:t>28,130,689</w:t>
            </w:r>
          </w:p>
        </w:tc>
        <w:tc>
          <w:tcPr>
            <w:tcW w:w="485" w:type="pct"/>
            <w:shd w:val="clear" w:color="auto" w:fill="auto"/>
            <w:tcMar>
              <w:top w:w="0" w:type="dxa"/>
              <w:bottom w:w="0" w:type="dxa"/>
            </w:tcMar>
            <w:vAlign w:val="center"/>
          </w:tcPr>
          <w:p w14:paraId="407AC267" w14:textId="77777777" w:rsidR="00A5236D" w:rsidRPr="00F43132"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F43132">
              <w:rPr>
                <w:rFonts w:ascii="Arial" w:hAnsi="Arial" w:cs="Arial"/>
                <w:b/>
                <w:color w:val="010000"/>
                <w:sz w:val="20"/>
              </w:rPr>
              <w:t>28,130,689</w:t>
            </w:r>
          </w:p>
        </w:tc>
        <w:tc>
          <w:tcPr>
            <w:tcW w:w="452" w:type="pct"/>
            <w:shd w:val="clear" w:color="auto" w:fill="auto"/>
            <w:tcMar>
              <w:top w:w="0" w:type="dxa"/>
              <w:bottom w:w="0" w:type="dxa"/>
            </w:tcMar>
            <w:vAlign w:val="center"/>
          </w:tcPr>
          <w:p w14:paraId="4080CCFF" w14:textId="77777777" w:rsidR="00A5236D" w:rsidRPr="00F43132"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F43132">
              <w:rPr>
                <w:rFonts w:ascii="Arial" w:hAnsi="Arial" w:cs="Arial"/>
                <w:b/>
                <w:color w:val="010000"/>
                <w:sz w:val="20"/>
              </w:rPr>
              <w:t>4,130</w:t>
            </w:r>
          </w:p>
        </w:tc>
        <w:tc>
          <w:tcPr>
            <w:tcW w:w="420" w:type="pct"/>
            <w:shd w:val="clear" w:color="auto" w:fill="auto"/>
            <w:tcMar>
              <w:top w:w="0" w:type="dxa"/>
              <w:bottom w:w="0" w:type="dxa"/>
            </w:tcMar>
            <w:vAlign w:val="center"/>
          </w:tcPr>
          <w:p w14:paraId="28453BD6" w14:textId="77777777" w:rsidR="00A5236D" w:rsidRPr="00F43132"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F43132">
              <w:rPr>
                <w:rFonts w:ascii="Arial" w:hAnsi="Arial" w:cs="Arial"/>
                <w:b/>
                <w:color w:val="010000"/>
                <w:sz w:val="20"/>
              </w:rPr>
              <w:t>4,130</w:t>
            </w:r>
          </w:p>
        </w:tc>
        <w:tc>
          <w:tcPr>
            <w:tcW w:w="513" w:type="pct"/>
            <w:shd w:val="clear" w:color="auto" w:fill="auto"/>
            <w:tcMar>
              <w:top w:w="0" w:type="dxa"/>
              <w:bottom w:w="0" w:type="dxa"/>
            </w:tcMar>
            <w:vAlign w:val="center"/>
          </w:tcPr>
          <w:p w14:paraId="03155B7C" w14:textId="77777777" w:rsidR="00A5236D" w:rsidRPr="00F43132"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F43132">
              <w:rPr>
                <w:rFonts w:ascii="Arial" w:hAnsi="Arial" w:cs="Arial"/>
                <w:b/>
                <w:color w:val="010000"/>
                <w:sz w:val="20"/>
              </w:rPr>
              <w:t>0</w:t>
            </w:r>
          </w:p>
        </w:tc>
        <w:tc>
          <w:tcPr>
            <w:tcW w:w="515" w:type="pct"/>
            <w:shd w:val="clear" w:color="auto" w:fill="auto"/>
            <w:tcMar>
              <w:top w:w="0" w:type="dxa"/>
              <w:bottom w:w="0" w:type="dxa"/>
            </w:tcMar>
            <w:vAlign w:val="center"/>
          </w:tcPr>
          <w:p w14:paraId="6563563F" w14:textId="77777777" w:rsidR="00A5236D" w:rsidRPr="00F43132"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F43132">
              <w:rPr>
                <w:rFonts w:ascii="Arial" w:hAnsi="Arial" w:cs="Arial"/>
                <w:b/>
                <w:color w:val="010000"/>
                <w:sz w:val="20"/>
              </w:rPr>
              <w:t>271,262</w:t>
            </w:r>
          </w:p>
        </w:tc>
        <w:tc>
          <w:tcPr>
            <w:tcW w:w="453" w:type="pct"/>
            <w:shd w:val="clear" w:color="auto" w:fill="auto"/>
            <w:tcMar>
              <w:top w:w="0" w:type="dxa"/>
              <w:bottom w:w="0" w:type="dxa"/>
            </w:tcMar>
            <w:vAlign w:val="center"/>
          </w:tcPr>
          <w:p w14:paraId="2EF0A38E" w14:textId="77777777" w:rsidR="00A5236D" w:rsidRPr="00F43132" w:rsidRDefault="00882305" w:rsidP="0052113E">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F43132">
              <w:rPr>
                <w:rFonts w:ascii="Arial" w:hAnsi="Arial" w:cs="Arial"/>
                <w:b/>
                <w:color w:val="010000"/>
                <w:sz w:val="20"/>
              </w:rPr>
              <w:t>99.05%</w:t>
            </w:r>
          </w:p>
        </w:tc>
      </w:tr>
    </w:tbl>
    <w:p w14:paraId="2451C612"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 xml:space="preserve">In case of having issuance underwriting, state the distribution results for the underwriter in accordance with the agreement in contract (quantity, price, in case there is </w:t>
      </w:r>
      <w:proofErr w:type="gramStart"/>
      <w:r w:rsidRPr="00882305">
        <w:rPr>
          <w:rFonts w:ascii="Arial" w:hAnsi="Arial" w:cs="Arial"/>
          <w:color w:val="010000"/>
          <w:sz w:val="20"/>
        </w:rPr>
        <w:t>a</w:t>
      </w:r>
      <w:proofErr w:type="gramEnd"/>
      <w:r w:rsidRPr="00882305">
        <w:rPr>
          <w:rFonts w:ascii="Arial" w:hAnsi="Arial" w:cs="Arial"/>
          <w:color w:val="010000"/>
          <w:sz w:val="20"/>
        </w:rPr>
        <w:t xml:space="preserve"> underwriter group, state each organization): None</w:t>
      </w:r>
    </w:p>
    <w:p w14:paraId="70285C41" w14:textId="77777777" w:rsidR="00A5236D" w:rsidRPr="00882305" w:rsidRDefault="00882305" w:rsidP="00882305">
      <w:pPr>
        <w:keepNext/>
        <w:numPr>
          <w:ilvl w:val="0"/>
          <w:numId w:val="3"/>
        </w:numPr>
        <w:pBdr>
          <w:top w:val="nil"/>
          <w:left w:val="nil"/>
          <w:bottom w:val="nil"/>
          <w:right w:val="nil"/>
          <w:between w:val="nil"/>
        </w:pBdr>
        <w:tabs>
          <w:tab w:val="left" w:pos="360"/>
          <w:tab w:val="left" w:pos="1401"/>
        </w:tabs>
        <w:spacing w:after="120" w:line="360" w:lineRule="auto"/>
        <w:rPr>
          <w:rFonts w:ascii="Arial" w:eastAsia="Arial" w:hAnsi="Arial" w:cs="Arial"/>
          <w:color w:val="010000"/>
          <w:sz w:val="20"/>
          <w:szCs w:val="20"/>
        </w:rPr>
      </w:pPr>
      <w:r w:rsidRPr="00882305">
        <w:rPr>
          <w:rFonts w:ascii="Arial" w:hAnsi="Arial" w:cs="Arial"/>
          <w:color w:val="010000"/>
          <w:sz w:val="20"/>
        </w:rPr>
        <w:t>Summary of offering results</w:t>
      </w:r>
    </w:p>
    <w:p w14:paraId="576820E6" w14:textId="77777777" w:rsidR="00A5236D" w:rsidRPr="00882305" w:rsidRDefault="00882305" w:rsidP="00882305">
      <w:pPr>
        <w:numPr>
          <w:ilvl w:val="0"/>
          <w:numId w:val="4"/>
        </w:numPr>
        <w:pBdr>
          <w:top w:val="nil"/>
          <w:left w:val="nil"/>
          <w:bottom w:val="nil"/>
          <w:right w:val="nil"/>
          <w:between w:val="nil"/>
        </w:pBdr>
        <w:tabs>
          <w:tab w:val="left" w:pos="360"/>
          <w:tab w:val="left" w:pos="2080"/>
        </w:tabs>
        <w:spacing w:after="120" w:line="360" w:lineRule="auto"/>
        <w:rPr>
          <w:rFonts w:ascii="Arial" w:eastAsia="Arial" w:hAnsi="Arial" w:cs="Arial"/>
          <w:color w:val="010000"/>
          <w:sz w:val="20"/>
          <w:szCs w:val="20"/>
        </w:rPr>
      </w:pPr>
      <w:r w:rsidRPr="00882305">
        <w:rPr>
          <w:rFonts w:ascii="Arial" w:hAnsi="Arial" w:cs="Arial"/>
          <w:color w:val="010000"/>
          <w:sz w:val="20"/>
        </w:rPr>
        <w:t>Total number of distributed bonds: 28,130,689 bonds, equivalent to 99.05% of total offered bonds.</w:t>
      </w:r>
    </w:p>
    <w:p w14:paraId="50C2F7FD" w14:textId="77777777" w:rsidR="00A5236D" w:rsidRPr="00882305" w:rsidRDefault="00882305" w:rsidP="00882305">
      <w:pPr>
        <w:numPr>
          <w:ilvl w:val="0"/>
          <w:numId w:val="4"/>
        </w:numPr>
        <w:pBdr>
          <w:top w:val="nil"/>
          <w:left w:val="nil"/>
          <w:bottom w:val="nil"/>
          <w:right w:val="nil"/>
          <w:between w:val="nil"/>
        </w:pBdr>
        <w:tabs>
          <w:tab w:val="left" w:pos="360"/>
          <w:tab w:val="left" w:pos="2080"/>
        </w:tabs>
        <w:spacing w:after="120" w:line="360" w:lineRule="auto"/>
        <w:rPr>
          <w:rFonts w:ascii="Arial" w:eastAsia="Arial" w:hAnsi="Arial" w:cs="Arial"/>
          <w:color w:val="010000"/>
          <w:sz w:val="20"/>
          <w:szCs w:val="20"/>
        </w:rPr>
      </w:pPr>
      <w:r w:rsidRPr="00882305">
        <w:rPr>
          <w:rFonts w:ascii="Arial" w:hAnsi="Arial" w:cs="Arial"/>
          <w:color w:val="010000"/>
          <w:sz w:val="20"/>
        </w:rPr>
        <w:t>Total proceeds from the offering: VND 2,813,068,900,000</w:t>
      </w:r>
    </w:p>
    <w:p w14:paraId="62B075FB"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According to the Bank's confirmation, the blocked account balance is VND 2,813,073,427,223, including:</w:t>
      </w:r>
    </w:p>
    <w:p w14:paraId="26AB0C8E" w14:textId="77777777" w:rsidR="00A5236D" w:rsidRPr="00882305" w:rsidRDefault="00882305" w:rsidP="00882305">
      <w:pPr>
        <w:numPr>
          <w:ilvl w:val="0"/>
          <w:numId w:val="6"/>
        </w:numPr>
        <w:pBdr>
          <w:top w:val="nil"/>
          <w:left w:val="nil"/>
          <w:bottom w:val="nil"/>
          <w:right w:val="nil"/>
          <w:between w:val="nil"/>
        </w:pBdr>
        <w:tabs>
          <w:tab w:val="left" w:pos="360"/>
          <w:tab w:val="left" w:pos="2471"/>
          <w:tab w:val="center" w:pos="6398"/>
          <w:tab w:val="left" w:pos="7995"/>
          <w:tab w:val="center" w:pos="10093"/>
        </w:tabs>
        <w:spacing w:after="120" w:line="360" w:lineRule="auto"/>
        <w:rPr>
          <w:rFonts w:ascii="Arial" w:eastAsia="Arial" w:hAnsi="Arial" w:cs="Arial"/>
          <w:color w:val="010000"/>
          <w:sz w:val="20"/>
          <w:szCs w:val="20"/>
        </w:rPr>
      </w:pPr>
      <w:r w:rsidRPr="00882305">
        <w:rPr>
          <w:rFonts w:ascii="Arial" w:hAnsi="Arial" w:cs="Arial"/>
          <w:color w:val="010000"/>
          <w:sz w:val="20"/>
        </w:rPr>
        <w:t>Amount of money from successfully registered investors (1) VND 2,813,068,900,000</w:t>
      </w:r>
    </w:p>
    <w:p w14:paraId="0B0D6C6B" w14:textId="77777777" w:rsidR="00A5236D" w:rsidRPr="00882305" w:rsidRDefault="00882305" w:rsidP="00882305">
      <w:pPr>
        <w:numPr>
          <w:ilvl w:val="0"/>
          <w:numId w:val="6"/>
        </w:numPr>
        <w:pBdr>
          <w:top w:val="nil"/>
          <w:left w:val="nil"/>
          <w:bottom w:val="nil"/>
          <w:right w:val="nil"/>
          <w:between w:val="nil"/>
        </w:pBdr>
        <w:tabs>
          <w:tab w:val="left" w:pos="286"/>
          <w:tab w:val="left" w:pos="360"/>
          <w:tab w:val="left" w:pos="5818"/>
        </w:tabs>
        <w:spacing w:after="120" w:line="360" w:lineRule="auto"/>
        <w:rPr>
          <w:rFonts w:ascii="Arial" w:eastAsia="Arial" w:hAnsi="Arial" w:cs="Arial"/>
          <w:color w:val="010000"/>
          <w:sz w:val="20"/>
          <w:szCs w:val="20"/>
        </w:rPr>
      </w:pPr>
      <w:r w:rsidRPr="00882305">
        <w:rPr>
          <w:rFonts w:ascii="Arial" w:hAnsi="Arial" w:cs="Arial"/>
          <w:color w:val="010000"/>
          <w:sz w:val="20"/>
        </w:rPr>
        <w:t>Amount overpaid by investors (2) VND 1,989</w:t>
      </w:r>
    </w:p>
    <w:p w14:paraId="1D050DA1" w14:textId="77777777" w:rsidR="00A5236D" w:rsidRPr="00882305" w:rsidRDefault="00882305" w:rsidP="00882305">
      <w:pPr>
        <w:numPr>
          <w:ilvl w:val="0"/>
          <w:numId w:val="6"/>
        </w:numPr>
        <w:pBdr>
          <w:top w:val="nil"/>
          <w:left w:val="nil"/>
          <w:bottom w:val="nil"/>
          <w:right w:val="nil"/>
          <w:between w:val="nil"/>
        </w:pBdr>
        <w:tabs>
          <w:tab w:val="left" w:pos="360"/>
          <w:tab w:val="left" w:pos="2471"/>
          <w:tab w:val="left" w:pos="7995"/>
        </w:tabs>
        <w:spacing w:after="120" w:line="360" w:lineRule="auto"/>
        <w:rPr>
          <w:rFonts w:ascii="Arial" w:eastAsia="Arial" w:hAnsi="Arial" w:cs="Arial"/>
          <w:color w:val="010000"/>
          <w:sz w:val="20"/>
          <w:szCs w:val="20"/>
        </w:rPr>
      </w:pPr>
      <w:r w:rsidRPr="00882305">
        <w:rPr>
          <w:rFonts w:ascii="Arial" w:hAnsi="Arial" w:cs="Arial"/>
          <w:color w:val="010000"/>
          <w:sz w:val="20"/>
        </w:rPr>
        <w:t>Bank interest (3) VND 5,625,234</w:t>
      </w:r>
    </w:p>
    <w:p w14:paraId="65E89B46" w14:textId="77777777" w:rsidR="00A5236D" w:rsidRPr="00882305" w:rsidRDefault="00882305" w:rsidP="00882305">
      <w:pPr>
        <w:numPr>
          <w:ilvl w:val="0"/>
          <w:numId w:val="6"/>
        </w:numPr>
        <w:pBdr>
          <w:top w:val="nil"/>
          <w:left w:val="nil"/>
          <w:bottom w:val="nil"/>
          <w:right w:val="nil"/>
          <w:between w:val="nil"/>
        </w:pBdr>
        <w:tabs>
          <w:tab w:val="left" w:pos="360"/>
          <w:tab w:val="left" w:pos="2471"/>
          <w:tab w:val="center" w:pos="6398"/>
          <w:tab w:val="left" w:pos="7995"/>
        </w:tabs>
        <w:spacing w:after="120" w:line="360" w:lineRule="auto"/>
        <w:rPr>
          <w:rFonts w:ascii="Arial" w:eastAsia="Arial" w:hAnsi="Arial" w:cs="Arial"/>
          <w:color w:val="010000"/>
          <w:sz w:val="20"/>
          <w:szCs w:val="20"/>
        </w:rPr>
      </w:pPr>
      <w:r w:rsidRPr="00882305">
        <w:rPr>
          <w:rFonts w:ascii="Arial" w:hAnsi="Arial" w:cs="Arial"/>
          <w:color w:val="010000"/>
          <w:sz w:val="20"/>
        </w:rPr>
        <w:t xml:space="preserve">Fee for transferring money from VSDC to blocked account (4) VND 1,100,000 </w:t>
      </w:r>
    </w:p>
    <w:p w14:paraId="2799B8B4" w14:textId="77777777" w:rsidR="00A5236D" w:rsidRPr="00882305" w:rsidRDefault="00882305" w:rsidP="00882305">
      <w:pPr>
        <w:pBdr>
          <w:top w:val="nil"/>
          <w:left w:val="nil"/>
          <w:bottom w:val="nil"/>
          <w:right w:val="nil"/>
          <w:between w:val="nil"/>
        </w:pBdr>
        <w:tabs>
          <w:tab w:val="left" w:pos="360"/>
          <w:tab w:val="left" w:pos="7687"/>
        </w:tabs>
        <w:spacing w:after="120" w:line="360" w:lineRule="auto"/>
        <w:rPr>
          <w:rFonts w:ascii="Arial" w:eastAsia="Arial" w:hAnsi="Arial" w:cs="Arial"/>
          <w:color w:val="010000"/>
          <w:sz w:val="20"/>
          <w:szCs w:val="20"/>
        </w:rPr>
      </w:pPr>
      <w:r w:rsidRPr="00882305">
        <w:rPr>
          <w:rFonts w:ascii="Arial" w:hAnsi="Arial" w:cs="Arial"/>
          <w:color w:val="010000"/>
          <w:sz w:val="20"/>
        </w:rPr>
        <w:t>Blocked account balance (5) = (1) + (2) + (3) - (4): VND 2,813,073,427,223</w:t>
      </w:r>
    </w:p>
    <w:p w14:paraId="3B5DCB27"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3. Total expenses: VND 988,700,000.</w:t>
      </w:r>
    </w:p>
    <w:p w14:paraId="184774D5" w14:textId="77777777" w:rsidR="00A5236D" w:rsidRPr="00882305" w:rsidRDefault="00882305" w:rsidP="00882305">
      <w:pPr>
        <w:numPr>
          <w:ilvl w:val="0"/>
          <w:numId w:val="6"/>
        </w:numPr>
        <w:pBdr>
          <w:top w:val="nil"/>
          <w:left w:val="nil"/>
          <w:bottom w:val="nil"/>
          <w:right w:val="nil"/>
          <w:between w:val="nil"/>
        </w:pBdr>
        <w:tabs>
          <w:tab w:val="left" w:pos="360"/>
          <w:tab w:val="left" w:pos="2418"/>
        </w:tabs>
        <w:spacing w:after="120" w:line="360" w:lineRule="auto"/>
        <w:rPr>
          <w:rFonts w:ascii="Arial" w:eastAsia="Arial" w:hAnsi="Arial" w:cs="Arial"/>
          <w:color w:val="010000"/>
          <w:sz w:val="20"/>
          <w:szCs w:val="20"/>
        </w:rPr>
      </w:pPr>
      <w:r w:rsidRPr="00882305">
        <w:rPr>
          <w:rFonts w:ascii="Arial" w:hAnsi="Arial" w:cs="Arial"/>
          <w:color w:val="010000"/>
          <w:sz w:val="20"/>
        </w:rPr>
        <w:t>Fee of granting certification for public offering: VND 25,000,000</w:t>
      </w:r>
    </w:p>
    <w:p w14:paraId="0859C4CE" w14:textId="77777777" w:rsidR="00A5236D" w:rsidRPr="00882305" w:rsidRDefault="00882305" w:rsidP="00882305">
      <w:pPr>
        <w:numPr>
          <w:ilvl w:val="0"/>
          <w:numId w:val="6"/>
        </w:numPr>
        <w:pBdr>
          <w:top w:val="nil"/>
          <w:left w:val="nil"/>
          <w:bottom w:val="nil"/>
          <w:right w:val="nil"/>
          <w:between w:val="nil"/>
        </w:pBdr>
        <w:tabs>
          <w:tab w:val="left" w:pos="360"/>
          <w:tab w:val="left" w:pos="2418"/>
        </w:tabs>
        <w:spacing w:after="120" w:line="360" w:lineRule="auto"/>
        <w:rPr>
          <w:rFonts w:ascii="Arial" w:eastAsia="Arial" w:hAnsi="Arial" w:cs="Arial"/>
          <w:color w:val="010000"/>
          <w:sz w:val="20"/>
          <w:szCs w:val="20"/>
        </w:rPr>
      </w:pPr>
      <w:r w:rsidRPr="00882305">
        <w:rPr>
          <w:rFonts w:ascii="Arial" w:hAnsi="Arial" w:cs="Arial"/>
          <w:color w:val="010000"/>
          <w:sz w:val="20"/>
        </w:rPr>
        <w:t>Fees for information disclosure on newspapers: VND 48,600,000</w:t>
      </w:r>
    </w:p>
    <w:p w14:paraId="76DFD9DD" w14:textId="77777777" w:rsidR="00A5236D" w:rsidRPr="00882305" w:rsidRDefault="00882305" w:rsidP="00882305">
      <w:pPr>
        <w:numPr>
          <w:ilvl w:val="0"/>
          <w:numId w:val="6"/>
        </w:numPr>
        <w:pBdr>
          <w:top w:val="nil"/>
          <w:left w:val="nil"/>
          <w:bottom w:val="nil"/>
          <w:right w:val="nil"/>
          <w:between w:val="nil"/>
        </w:pBdr>
        <w:tabs>
          <w:tab w:val="left" w:pos="360"/>
          <w:tab w:val="left" w:pos="2418"/>
        </w:tabs>
        <w:spacing w:after="120" w:line="360" w:lineRule="auto"/>
        <w:rPr>
          <w:rFonts w:ascii="Arial" w:eastAsia="Arial" w:hAnsi="Arial" w:cs="Arial"/>
          <w:color w:val="010000"/>
          <w:sz w:val="20"/>
          <w:szCs w:val="20"/>
        </w:rPr>
      </w:pPr>
      <w:r w:rsidRPr="00882305">
        <w:rPr>
          <w:rFonts w:ascii="Arial" w:hAnsi="Arial" w:cs="Arial"/>
          <w:color w:val="010000"/>
          <w:sz w:val="20"/>
        </w:rPr>
        <w:t>Issuing consulting and Issuing agent fees: VND 900,000,000</w:t>
      </w:r>
    </w:p>
    <w:p w14:paraId="04B5FAFC" w14:textId="77777777" w:rsidR="00A5236D" w:rsidRPr="00882305" w:rsidRDefault="00882305" w:rsidP="00882305">
      <w:pPr>
        <w:numPr>
          <w:ilvl w:val="0"/>
          <w:numId w:val="6"/>
        </w:numPr>
        <w:pBdr>
          <w:top w:val="nil"/>
          <w:left w:val="nil"/>
          <w:bottom w:val="nil"/>
          <w:right w:val="nil"/>
          <w:between w:val="nil"/>
        </w:pBdr>
        <w:tabs>
          <w:tab w:val="left" w:pos="360"/>
          <w:tab w:val="left" w:pos="2418"/>
        </w:tabs>
        <w:spacing w:after="120" w:line="360" w:lineRule="auto"/>
        <w:rPr>
          <w:rFonts w:ascii="Arial" w:eastAsia="Arial" w:hAnsi="Arial" w:cs="Arial"/>
          <w:color w:val="010000"/>
          <w:sz w:val="20"/>
          <w:szCs w:val="20"/>
        </w:rPr>
      </w:pPr>
      <w:r w:rsidRPr="00882305">
        <w:rPr>
          <w:rFonts w:ascii="Arial" w:hAnsi="Arial" w:cs="Arial"/>
          <w:color w:val="010000"/>
          <w:sz w:val="20"/>
        </w:rPr>
        <w:lastRenderedPageBreak/>
        <w:t>Fee for recording the list of exercising rights at VSDC: VND 14,000,000</w:t>
      </w:r>
    </w:p>
    <w:p w14:paraId="546A4739" w14:textId="77777777" w:rsidR="00A5236D" w:rsidRPr="00882305" w:rsidRDefault="00882305" w:rsidP="00882305">
      <w:pPr>
        <w:numPr>
          <w:ilvl w:val="0"/>
          <w:numId w:val="6"/>
        </w:numPr>
        <w:pBdr>
          <w:top w:val="nil"/>
          <w:left w:val="nil"/>
          <w:bottom w:val="nil"/>
          <w:right w:val="nil"/>
          <w:between w:val="nil"/>
        </w:pBdr>
        <w:tabs>
          <w:tab w:val="left" w:pos="360"/>
          <w:tab w:val="left" w:pos="2418"/>
        </w:tabs>
        <w:spacing w:after="120" w:line="360" w:lineRule="auto"/>
        <w:rPr>
          <w:rFonts w:ascii="Arial" w:eastAsia="Arial" w:hAnsi="Arial" w:cs="Arial"/>
          <w:color w:val="010000"/>
          <w:sz w:val="20"/>
          <w:szCs w:val="20"/>
        </w:rPr>
      </w:pPr>
      <w:r w:rsidRPr="00882305">
        <w:rPr>
          <w:rFonts w:ascii="Arial" w:hAnsi="Arial" w:cs="Arial"/>
          <w:color w:val="010000"/>
          <w:sz w:val="20"/>
        </w:rPr>
        <w:t>Fee for transferring from VSD to blocked account: VND 1,100,000</w:t>
      </w:r>
    </w:p>
    <w:p w14:paraId="0C3B3FF5"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4. Total net proceeds from the offering: VND 2,812,080,200,000.</w:t>
      </w:r>
    </w:p>
    <w:p w14:paraId="58116335" w14:textId="77777777" w:rsidR="00A5236D" w:rsidRPr="00882305" w:rsidRDefault="00882305" w:rsidP="00882305">
      <w:pPr>
        <w:numPr>
          <w:ilvl w:val="0"/>
          <w:numId w:val="3"/>
        </w:numPr>
        <w:pBdr>
          <w:top w:val="nil"/>
          <w:left w:val="nil"/>
          <w:bottom w:val="nil"/>
          <w:right w:val="nil"/>
          <w:between w:val="nil"/>
        </w:pBdr>
        <w:tabs>
          <w:tab w:val="left" w:pos="360"/>
          <w:tab w:val="left" w:pos="1436"/>
        </w:tabs>
        <w:spacing w:after="120" w:line="360" w:lineRule="auto"/>
        <w:rPr>
          <w:rFonts w:ascii="Arial" w:eastAsia="Arial" w:hAnsi="Arial" w:cs="Arial"/>
          <w:color w:val="010000"/>
          <w:sz w:val="20"/>
          <w:szCs w:val="20"/>
        </w:rPr>
      </w:pPr>
      <w:r w:rsidRPr="00882305">
        <w:rPr>
          <w:rFonts w:ascii="Arial" w:hAnsi="Arial" w:cs="Arial"/>
          <w:color w:val="010000"/>
          <w:sz w:val="20"/>
        </w:rPr>
        <w:t>Capital structure of the Issuer after the offering</w:t>
      </w:r>
    </w:p>
    <w:p w14:paraId="2E17D3DA"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27"/>
        <w:gridCol w:w="4107"/>
        <w:gridCol w:w="4345"/>
      </w:tblGrid>
      <w:tr w:rsidR="00A5236D" w:rsidRPr="00882305" w14:paraId="02B8CED3" w14:textId="77777777" w:rsidTr="00882305">
        <w:tc>
          <w:tcPr>
            <w:tcW w:w="1977" w:type="pct"/>
            <w:shd w:val="clear" w:color="auto" w:fill="auto"/>
            <w:tcMar>
              <w:top w:w="0" w:type="dxa"/>
              <w:bottom w:w="0" w:type="dxa"/>
            </w:tcMar>
            <w:vAlign w:val="center"/>
          </w:tcPr>
          <w:p w14:paraId="632725BD"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Targets</w:t>
            </w:r>
          </w:p>
        </w:tc>
        <w:tc>
          <w:tcPr>
            <w:tcW w:w="1469" w:type="pct"/>
            <w:shd w:val="clear" w:color="auto" w:fill="auto"/>
            <w:tcMar>
              <w:top w:w="0" w:type="dxa"/>
              <w:bottom w:w="0" w:type="dxa"/>
            </w:tcMar>
            <w:vAlign w:val="center"/>
          </w:tcPr>
          <w:p w14:paraId="6FDFB1CD"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Before the offering (According to the Consolidated Financial Statements Q3/2023)</w:t>
            </w:r>
          </w:p>
        </w:tc>
        <w:tc>
          <w:tcPr>
            <w:tcW w:w="1554" w:type="pct"/>
            <w:shd w:val="clear" w:color="auto" w:fill="auto"/>
            <w:tcMar>
              <w:top w:w="0" w:type="dxa"/>
              <w:bottom w:w="0" w:type="dxa"/>
            </w:tcMar>
            <w:vAlign w:val="center"/>
          </w:tcPr>
          <w:p w14:paraId="73B5061F"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After the offering (expected)</w:t>
            </w:r>
          </w:p>
        </w:tc>
      </w:tr>
      <w:tr w:rsidR="00A5236D" w:rsidRPr="00882305" w14:paraId="74781775" w14:textId="77777777" w:rsidTr="00882305">
        <w:tc>
          <w:tcPr>
            <w:tcW w:w="1977" w:type="pct"/>
            <w:shd w:val="clear" w:color="auto" w:fill="auto"/>
            <w:tcMar>
              <w:top w:w="0" w:type="dxa"/>
              <w:bottom w:w="0" w:type="dxa"/>
            </w:tcMar>
            <w:vAlign w:val="center"/>
          </w:tcPr>
          <w:p w14:paraId="06E31600"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1. Total debt</w:t>
            </w:r>
          </w:p>
        </w:tc>
        <w:tc>
          <w:tcPr>
            <w:tcW w:w="1469" w:type="pct"/>
            <w:shd w:val="clear" w:color="auto" w:fill="auto"/>
            <w:tcMar>
              <w:top w:w="0" w:type="dxa"/>
              <w:bottom w:w="0" w:type="dxa"/>
            </w:tcMar>
            <w:vAlign w:val="center"/>
          </w:tcPr>
          <w:p w14:paraId="50CFAAF5" w14:textId="77777777" w:rsidR="00A5236D" w:rsidRPr="00882305" w:rsidRDefault="00882305" w:rsidP="003E61B3">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18,022,614</w:t>
            </w:r>
          </w:p>
        </w:tc>
        <w:tc>
          <w:tcPr>
            <w:tcW w:w="1554" w:type="pct"/>
            <w:shd w:val="clear" w:color="auto" w:fill="auto"/>
            <w:tcMar>
              <w:top w:w="0" w:type="dxa"/>
              <w:bottom w:w="0" w:type="dxa"/>
            </w:tcMar>
            <w:vAlign w:val="center"/>
          </w:tcPr>
          <w:p w14:paraId="49DE693D" w14:textId="77777777" w:rsidR="00A5236D" w:rsidRPr="00882305" w:rsidRDefault="00882305" w:rsidP="003E61B3">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27,441,184</w:t>
            </w:r>
          </w:p>
        </w:tc>
      </w:tr>
      <w:tr w:rsidR="00A5236D" w:rsidRPr="00882305" w14:paraId="6FBC52DF" w14:textId="77777777" w:rsidTr="00882305">
        <w:tc>
          <w:tcPr>
            <w:tcW w:w="1977" w:type="pct"/>
            <w:shd w:val="clear" w:color="auto" w:fill="auto"/>
            <w:tcMar>
              <w:top w:w="0" w:type="dxa"/>
              <w:bottom w:w="0" w:type="dxa"/>
            </w:tcMar>
            <w:vAlign w:val="center"/>
          </w:tcPr>
          <w:p w14:paraId="3E28DC97" w14:textId="77777777" w:rsidR="00A5236D" w:rsidRPr="00882305" w:rsidRDefault="00882305" w:rsidP="00882305">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82305">
              <w:rPr>
                <w:rFonts w:ascii="Arial" w:hAnsi="Arial" w:cs="Arial"/>
                <w:color w:val="010000"/>
                <w:sz w:val="20"/>
              </w:rPr>
              <w:t>Short-term payables</w:t>
            </w:r>
          </w:p>
        </w:tc>
        <w:tc>
          <w:tcPr>
            <w:tcW w:w="1469" w:type="pct"/>
            <w:shd w:val="clear" w:color="auto" w:fill="auto"/>
            <w:tcMar>
              <w:top w:w="0" w:type="dxa"/>
              <w:bottom w:w="0" w:type="dxa"/>
            </w:tcMar>
            <w:vAlign w:val="center"/>
          </w:tcPr>
          <w:p w14:paraId="40A354B6" w14:textId="77777777" w:rsidR="00A5236D" w:rsidRPr="00882305" w:rsidRDefault="00882305" w:rsidP="003E61B3">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8,112,403</w:t>
            </w:r>
          </w:p>
        </w:tc>
        <w:tc>
          <w:tcPr>
            <w:tcW w:w="1554" w:type="pct"/>
            <w:shd w:val="clear" w:color="auto" w:fill="auto"/>
            <w:tcMar>
              <w:top w:w="0" w:type="dxa"/>
              <w:bottom w:w="0" w:type="dxa"/>
            </w:tcMar>
            <w:vAlign w:val="center"/>
          </w:tcPr>
          <w:p w14:paraId="54F5AB60" w14:textId="77777777" w:rsidR="00A5236D" w:rsidRPr="00882305" w:rsidRDefault="00882305" w:rsidP="003E61B3">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8,112,403</w:t>
            </w:r>
          </w:p>
        </w:tc>
      </w:tr>
      <w:tr w:rsidR="00A5236D" w:rsidRPr="00882305" w14:paraId="0E3E8A90" w14:textId="77777777" w:rsidTr="00882305">
        <w:tc>
          <w:tcPr>
            <w:tcW w:w="1977" w:type="pct"/>
            <w:shd w:val="clear" w:color="auto" w:fill="auto"/>
            <w:tcMar>
              <w:top w:w="0" w:type="dxa"/>
              <w:bottom w:w="0" w:type="dxa"/>
            </w:tcMar>
            <w:vAlign w:val="center"/>
          </w:tcPr>
          <w:p w14:paraId="26C41C6A" w14:textId="77777777" w:rsidR="00A5236D" w:rsidRPr="00882305" w:rsidRDefault="00882305" w:rsidP="00882305">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882305">
              <w:rPr>
                <w:rFonts w:ascii="Arial" w:hAnsi="Arial" w:cs="Arial"/>
                <w:color w:val="010000"/>
                <w:sz w:val="20"/>
              </w:rPr>
              <w:t>Long-term debt</w:t>
            </w:r>
          </w:p>
        </w:tc>
        <w:tc>
          <w:tcPr>
            <w:tcW w:w="1469" w:type="pct"/>
            <w:shd w:val="clear" w:color="auto" w:fill="auto"/>
            <w:tcMar>
              <w:top w:w="0" w:type="dxa"/>
              <w:bottom w:w="0" w:type="dxa"/>
            </w:tcMar>
            <w:vAlign w:val="center"/>
          </w:tcPr>
          <w:p w14:paraId="4C82DB75" w14:textId="77777777" w:rsidR="00A5236D" w:rsidRPr="00882305" w:rsidRDefault="00882305" w:rsidP="003E61B3">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9,910,211</w:t>
            </w:r>
          </w:p>
        </w:tc>
        <w:tc>
          <w:tcPr>
            <w:tcW w:w="1554" w:type="pct"/>
            <w:shd w:val="clear" w:color="auto" w:fill="auto"/>
            <w:tcMar>
              <w:top w:w="0" w:type="dxa"/>
              <w:bottom w:w="0" w:type="dxa"/>
            </w:tcMar>
            <w:vAlign w:val="center"/>
          </w:tcPr>
          <w:p w14:paraId="532A063F" w14:textId="77777777" w:rsidR="00A5236D" w:rsidRPr="00882305" w:rsidRDefault="00882305" w:rsidP="003E61B3">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19,005,246</w:t>
            </w:r>
          </w:p>
        </w:tc>
      </w:tr>
      <w:tr w:rsidR="00A5236D" w:rsidRPr="00882305" w14:paraId="71AFEE5E" w14:textId="77777777" w:rsidTr="00882305">
        <w:tc>
          <w:tcPr>
            <w:tcW w:w="1977" w:type="pct"/>
            <w:shd w:val="clear" w:color="auto" w:fill="auto"/>
            <w:tcMar>
              <w:top w:w="0" w:type="dxa"/>
              <w:bottom w:w="0" w:type="dxa"/>
            </w:tcMar>
            <w:vAlign w:val="center"/>
          </w:tcPr>
          <w:p w14:paraId="10566A77"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In which: Bonds that have not matured</w:t>
            </w:r>
          </w:p>
        </w:tc>
        <w:tc>
          <w:tcPr>
            <w:tcW w:w="1469" w:type="pct"/>
            <w:shd w:val="clear" w:color="auto" w:fill="auto"/>
            <w:tcMar>
              <w:top w:w="0" w:type="dxa"/>
              <w:bottom w:w="0" w:type="dxa"/>
            </w:tcMar>
            <w:vAlign w:val="center"/>
          </w:tcPr>
          <w:p w14:paraId="5E3F1AE4" w14:textId="77777777" w:rsidR="00A5236D" w:rsidRPr="00882305" w:rsidRDefault="00882305" w:rsidP="003E61B3">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3,112,323</w:t>
            </w:r>
          </w:p>
        </w:tc>
        <w:tc>
          <w:tcPr>
            <w:tcW w:w="1554" w:type="pct"/>
            <w:shd w:val="clear" w:color="auto" w:fill="auto"/>
            <w:tcMar>
              <w:top w:w="0" w:type="dxa"/>
              <w:bottom w:w="0" w:type="dxa"/>
            </w:tcMar>
            <w:vAlign w:val="center"/>
          </w:tcPr>
          <w:p w14:paraId="35F7777E" w14:textId="77777777" w:rsidR="00A5236D" w:rsidRPr="00882305" w:rsidRDefault="00882305" w:rsidP="003E61B3">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5,581,939</w:t>
            </w:r>
          </w:p>
        </w:tc>
      </w:tr>
      <w:tr w:rsidR="00A5236D" w:rsidRPr="00882305" w14:paraId="3E394549" w14:textId="77777777" w:rsidTr="00882305">
        <w:tc>
          <w:tcPr>
            <w:tcW w:w="1977" w:type="pct"/>
            <w:shd w:val="clear" w:color="auto" w:fill="auto"/>
            <w:tcMar>
              <w:top w:w="0" w:type="dxa"/>
              <w:bottom w:w="0" w:type="dxa"/>
            </w:tcMar>
            <w:vAlign w:val="center"/>
          </w:tcPr>
          <w:p w14:paraId="055884F0"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2. Total owner’s equity</w:t>
            </w:r>
          </w:p>
        </w:tc>
        <w:tc>
          <w:tcPr>
            <w:tcW w:w="1469" w:type="pct"/>
            <w:shd w:val="clear" w:color="auto" w:fill="auto"/>
            <w:tcMar>
              <w:top w:w="0" w:type="dxa"/>
              <w:bottom w:w="0" w:type="dxa"/>
            </w:tcMar>
            <w:vAlign w:val="center"/>
          </w:tcPr>
          <w:p w14:paraId="2FF0972C" w14:textId="77777777" w:rsidR="00A5236D" w:rsidRPr="00882305" w:rsidRDefault="00882305" w:rsidP="003E61B3">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8,058,011</w:t>
            </w:r>
          </w:p>
        </w:tc>
        <w:tc>
          <w:tcPr>
            <w:tcW w:w="1554" w:type="pct"/>
            <w:shd w:val="clear" w:color="auto" w:fill="auto"/>
            <w:tcMar>
              <w:top w:w="0" w:type="dxa"/>
              <w:bottom w:w="0" w:type="dxa"/>
            </w:tcMar>
            <w:vAlign w:val="center"/>
          </w:tcPr>
          <w:p w14:paraId="3BE43E5D" w14:textId="77777777" w:rsidR="00A5236D" w:rsidRPr="00882305" w:rsidRDefault="00882305" w:rsidP="003E61B3">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8,556,943</w:t>
            </w:r>
          </w:p>
        </w:tc>
      </w:tr>
      <w:tr w:rsidR="00A5236D" w:rsidRPr="00882305" w14:paraId="2D739767" w14:textId="77777777" w:rsidTr="00882305">
        <w:tc>
          <w:tcPr>
            <w:tcW w:w="1977" w:type="pct"/>
            <w:shd w:val="clear" w:color="auto" w:fill="auto"/>
            <w:tcMar>
              <w:top w:w="0" w:type="dxa"/>
              <w:bottom w:w="0" w:type="dxa"/>
            </w:tcMar>
            <w:vAlign w:val="center"/>
          </w:tcPr>
          <w:p w14:paraId="3623D0A5" w14:textId="77777777" w:rsidR="00A5236D" w:rsidRPr="00882305" w:rsidRDefault="00882305" w:rsidP="008823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2305">
              <w:rPr>
                <w:rFonts w:ascii="Arial" w:hAnsi="Arial" w:cs="Arial"/>
                <w:color w:val="010000"/>
                <w:sz w:val="20"/>
              </w:rPr>
              <w:t>3. Profit before tax/Owner’s equity</w:t>
            </w:r>
          </w:p>
        </w:tc>
        <w:tc>
          <w:tcPr>
            <w:tcW w:w="1469" w:type="pct"/>
            <w:shd w:val="clear" w:color="auto" w:fill="auto"/>
            <w:tcMar>
              <w:top w:w="0" w:type="dxa"/>
              <w:bottom w:w="0" w:type="dxa"/>
            </w:tcMar>
            <w:vAlign w:val="center"/>
          </w:tcPr>
          <w:p w14:paraId="17081C97" w14:textId="77777777" w:rsidR="00A5236D" w:rsidRPr="00882305" w:rsidRDefault="00882305" w:rsidP="003E61B3">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2.24</w:t>
            </w:r>
          </w:p>
        </w:tc>
        <w:tc>
          <w:tcPr>
            <w:tcW w:w="1554" w:type="pct"/>
            <w:shd w:val="clear" w:color="auto" w:fill="auto"/>
            <w:tcMar>
              <w:top w:w="0" w:type="dxa"/>
              <w:bottom w:w="0" w:type="dxa"/>
            </w:tcMar>
            <w:vAlign w:val="center"/>
          </w:tcPr>
          <w:p w14:paraId="2D3D8DBF" w14:textId="77777777" w:rsidR="00A5236D" w:rsidRPr="00882305" w:rsidRDefault="00882305" w:rsidP="003E61B3">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882305">
              <w:rPr>
                <w:rFonts w:ascii="Arial" w:hAnsi="Arial" w:cs="Arial"/>
                <w:color w:val="010000"/>
                <w:sz w:val="20"/>
              </w:rPr>
              <w:t>3.21</w:t>
            </w:r>
          </w:p>
        </w:tc>
      </w:tr>
    </w:tbl>
    <w:p w14:paraId="06C4FC33" w14:textId="374AE164" w:rsidR="00A5236D" w:rsidRPr="00882305" w:rsidRDefault="00A5236D" w:rsidP="00882305">
      <w:pPr>
        <w:numPr>
          <w:ilvl w:val="0"/>
          <w:numId w:val="7"/>
        </w:numPr>
        <w:pBdr>
          <w:top w:val="nil"/>
          <w:left w:val="nil"/>
          <w:bottom w:val="nil"/>
          <w:right w:val="nil"/>
          <w:between w:val="nil"/>
        </w:pBdr>
        <w:tabs>
          <w:tab w:val="left" w:pos="360"/>
          <w:tab w:val="left" w:pos="1748"/>
        </w:tabs>
        <w:spacing w:after="120" w:line="360" w:lineRule="auto"/>
        <w:rPr>
          <w:rFonts w:ascii="Arial" w:eastAsia="Arial" w:hAnsi="Arial" w:cs="Arial"/>
          <w:color w:val="010000"/>
          <w:sz w:val="20"/>
          <w:szCs w:val="20"/>
        </w:rPr>
      </w:pPr>
      <w:bookmarkStart w:id="0" w:name="_GoBack"/>
      <w:bookmarkEnd w:id="0"/>
    </w:p>
    <w:sectPr w:rsidR="00A5236D" w:rsidRPr="00882305" w:rsidSect="00882305">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641F"/>
    <w:multiLevelType w:val="multilevel"/>
    <w:tmpl w:val="9E209842"/>
    <w:lvl w:ilvl="0">
      <w:start w:val="1"/>
      <w:numFmt w:val="upperRoman"/>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33D0CC7"/>
    <w:multiLevelType w:val="multilevel"/>
    <w:tmpl w:val="AF7A7C12"/>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D65DDF"/>
    <w:multiLevelType w:val="multilevel"/>
    <w:tmpl w:val="70DE8F2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01A0C79"/>
    <w:multiLevelType w:val="multilevel"/>
    <w:tmpl w:val="836AF8BC"/>
    <w:lvl w:ilvl="0">
      <w:start w:val="4"/>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05413E8"/>
    <w:multiLevelType w:val="multilevel"/>
    <w:tmpl w:val="BCB059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2204B3"/>
    <w:multiLevelType w:val="multilevel"/>
    <w:tmpl w:val="055E51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26E1DA7"/>
    <w:multiLevelType w:val="multilevel"/>
    <w:tmpl w:val="910C1C70"/>
    <w:lvl w:ilvl="0">
      <w:start w:val="1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900270B"/>
    <w:multiLevelType w:val="multilevel"/>
    <w:tmpl w:val="208E64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5934C76"/>
    <w:multiLevelType w:val="multilevel"/>
    <w:tmpl w:val="397E08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6"/>
  </w:num>
  <w:num w:numId="3">
    <w:abstractNumId w:val="3"/>
  </w:num>
  <w:num w:numId="4">
    <w:abstractNumId w:val="8"/>
  </w:num>
  <w:num w:numId="5">
    <w:abstractNumId w:val="2"/>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6D"/>
    <w:rsid w:val="003E61B3"/>
    <w:rsid w:val="0052113E"/>
    <w:rsid w:val="00882305"/>
    <w:rsid w:val="009E081C"/>
    <w:rsid w:val="00A5236D"/>
    <w:rsid w:val="00F43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F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EA5C6B"/>
      <w:sz w:val="14"/>
      <w:szCs w:val="14"/>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Calibri" w:eastAsia="Calibri" w:hAnsi="Calibri" w:cs="Calibri"/>
      <w:b w:val="0"/>
      <w:bCs w:val="0"/>
      <w:i w:val="0"/>
      <w:iCs w:val="0"/>
      <w:smallCaps w:val="0"/>
      <w:strike w:val="0"/>
      <w:sz w:val="17"/>
      <w:szCs w:val="17"/>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40">
    <w:name w:val="Văn bản nội dung (4)"/>
    <w:basedOn w:val="Normal"/>
    <w:link w:val="Vnbnnidung4"/>
    <w:pPr>
      <w:spacing w:line="314" w:lineRule="auto"/>
    </w:pPr>
    <w:rPr>
      <w:rFonts w:ascii="Arial" w:eastAsia="Arial" w:hAnsi="Arial" w:cs="Arial"/>
      <w:color w:val="EA5C6B"/>
      <w:sz w:val="14"/>
      <w:szCs w:val="14"/>
    </w:rPr>
  </w:style>
  <w:style w:type="paragraph" w:customStyle="1" w:styleId="Vnbnnidung20">
    <w:name w:val="Văn bản nội dung (2)"/>
    <w:basedOn w:val="Normal"/>
    <w:link w:val="Vnbnnidung2"/>
    <w:pPr>
      <w:spacing w:line="190" w:lineRule="auto"/>
      <w:ind w:left="920"/>
    </w:pPr>
    <w:rPr>
      <w:rFonts w:ascii="Arial" w:eastAsia="Arial" w:hAnsi="Arial" w:cs="Arial"/>
      <w:b/>
      <w:bCs/>
      <w:sz w:val="8"/>
      <w:szCs w:val="8"/>
    </w:rPr>
  </w:style>
  <w:style w:type="paragraph" w:customStyle="1" w:styleId="Vnbnnidung30">
    <w:name w:val="Văn bản nội dung (3)"/>
    <w:basedOn w:val="Normal"/>
    <w:link w:val="Vnbnnidung3"/>
    <w:pPr>
      <w:spacing w:line="230" w:lineRule="auto"/>
    </w:pPr>
    <w:rPr>
      <w:rFonts w:ascii="Calibri" w:eastAsia="Calibri" w:hAnsi="Calibri" w:cs="Calibri"/>
      <w:sz w:val="17"/>
      <w:szCs w:val="17"/>
    </w:rPr>
  </w:style>
  <w:style w:type="paragraph" w:customStyle="1" w:styleId="Tiu30">
    <w:name w:val="Tiêu đề #3"/>
    <w:basedOn w:val="Normal"/>
    <w:link w:val="Tiu3"/>
    <w:pPr>
      <w:spacing w:line="286" w:lineRule="auto"/>
      <w:jc w:val="center"/>
      <w:outlineLvl w:val="2"/>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317" w:lineRule="auto"/>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Khc0">
    <w:name w:val="Khác"/>
    <w:basedOn w:val="Normal"/>
    <w:link w:val="Khc"/>
    <w:pPr>
      <w:spacing w:line="317"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EA5C6B"/>
      <w:sz w:val="14"/>
      <w:szCs w:val="14"/>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Calibri" w:eastAsia="Calibri" w:hAnsi="Calibri" w:cs="Calibri"/>
      <w:b w:val="0"/>
      <w:bCs w:val="0"/>
      <w:i w:val="0"/>
      <w:iCs w:val="0"/>
      <w:smallCaps w:val="0"/>
      <w:strike w:val="0"/>
      <w:sz w:val="17"/>
      <w:szCs w:val="17"/>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40">
    <w:name w:val="Văn bản nội dung (4)"/>
    <w:basedOn w:val="Normal"/>
    <w:link w:val="Vnbnnidung4"/>
    <w:pPr>
      <w:spacing w:line="314" w:lineRule="auto"/>
    </w:pPr>
    <w:rPr>
      <w:rFonts w:ascii="Arial" w:eastAsia="Arial" w:hAnsi="Arial" w:cs="Arial"/>
      <w:color w:val="EA5C6B"/>
      <w:sz w:val="14"/>
      <w:szCs w:val="14"/>
    </w:rPr>
  </w:style>
  <w:style w:type="paragraph" w:customStyle="1" w:styleId="Vnbnnidung20">
    <w:name w:val="Văn bản nội dung (2)"/>
    <w:basedOn w:val="Normal"/>
    <w:link w:val="Vnbnnidung2"/>
    <w:pPr>
      <w:spacing w:line="190" w:lineRule="auto"/>
      <w:ind w:left="920"/>
    </w:pPr>
    <w:rPr>
      <w:rFonts w:ascii="Arial" w:eastAsia="Arial" w:hAnsi="Arial" w:cs="Arial"/>
      <w:b/>
      <w:bCs/>
      <w:sz w:val="8"/>
      <w:szCs w:val="8"/>
    </w:rPr>
  </w:style>
  <w:style w:type="paragraph" w:customStyle="1" w:styleId="Vnbnnidung30">
    <w:name w:val="Văn bản nội dung (3)"/>
    <w:basedOn w:val="Normal"/>
    <w:link w:val="Vnbnnidung3"/>
    <w:pPr>
      <w:spacing w:line="230" w:lineRule="auto"/>
    </w:pPr>
    <w:rPr>
      <w:rFonts w:ascii="Calibri" w:eastAsia="Calibri" w:hAnsi="Calibri" w:cs="Calibri"/>
      <w:sz w:val="17"/>
      <w:szCs w:val="17"/>
    </w:rPr>
  </w:style>
  <w:style w:type="paragraph" w:customStyle="1" w:styleId="Tiu30">
    <w:name w:val="Tiêu đề #3"/>
    <w:basedOn w:val="Normal"/>
    <w:link w:val="Tiu3"/>
    <w:pPr>
      <w:spacing w:line="286" w:lineRule="auto"/>
      <w:jc w:val="center"/>
      <w:outlineLvl w:val="2"/>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317" w:lineRule="auto"/>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Khc0">
    <w:name w:val="Khác"/>
    <w:basedOn w:val="Normal"/>
    <w:link w:val="Khc"/>
    <w:pPr>
      <w:spacing w:line="317"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6xT8GPCF3NEEJMpWL1WPnq+yxQ==">CgMxLjA4AHIhMUNUN3hhSm5sSGVBX0lPQTlMWDBmbERId1NidGpnX1dC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916</Words>
  <Characters>4949</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7</cp:revision>
  <dcterms:created xsi:type="dcterms:W3CDTF">2024-01-30T03:33:00Z</dcterms:created>
  <dcterms:modified xsi:type="dcterms:W3CDTF">2024-01-31T04:55:00Z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7bd9ba1b7016ffc000328f13cc2654e8e21105f3ea08c385e9958b829d6a2610</vt:lpwstr>
  </property>
</Properties>
</file>