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A2B5A" w14:textId="77777777" w:rsidR="00C014C6" w:rsidRPr="00D32CF3" w:rsidRDefault="00D32CF3" w:rsidP="005C59A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D32CF3">
        <w:rPr>
          <w:rFonts w:ascii="Arial" w:hAnsi="Arial" w:cs="Arial"/>
          <w:b/>
          <w:color w:val="010000"/>
          <w:sz w:val="20"/>
        </w:rPr>
        <w:t>MKP: Board Resolution</w:t>
      </w:r>
    </w:p>
    <w:p w14:paraId="5C4DDDC8" w14:textId="77777777" w:rsidR="00C014C6" w:rsidRPr="00D32CF3" w:rsidRDefault="00D32CF3" w:rsidP="005C59A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2CF3">
        <w:rPr>
          <w:rFonts w:ascii="Arial" w:hAnsi="Arial" w:cs="Arial"/>
          <w:color w:val="010000"/>
          <w:sz w:val="20"/>
        </w:rPr>
        <w:t xml:space="preserve">On January 26, 2024, </w:t>
      </w:r>
      <w:proofErr w:type="spellStart"/>
      <w:r w:rsidRPr="00D32CF3">
        <w:rPr>
          <w:rFonts w:ascii="Arial" w:hAnsi="Arial" w:cs="Arial"/>
          <w:color w:val="010000"/>
          <w:sz w:val="20"/>
        </w:rPr>
        <w:t>Mekophar</w:t>
      </w:r>
      <w:proofErr w:type="spellEnd"/>
      <w:r w:rsidRPr="00D32CF3">
        <w:rPr>
          <w:rFonts w:ascii="Arial" w:hAnsi="Arial" w:cs="Arial"/>
          <w:color w:val="010000"/>
          <w:sz w:val="20"/>
        </w:rPr>
        <w:t xml:space="preserve"> Chemical Pharmaceutical Joint Stock Company announced Resolution No. 05/NQ-HDQT as follows:</w:t>
      </w:r>
    </w:p>
    <w:p w14:paraId="32422370" w14:textId="77777777" w:rsidR="00C014C6" w:rsidRPr="00D32CF3" w:rsidRDefault="00D32CF3" w:rsidP="005C59A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D32CF3">
        <w:rPr>
          <w:rFonts w:ascii="Arial" w:hAnsi="Arial" w:cs="Arial"/>
          <w:color w:val="010000"/>
          <w:sz w:val="20"/>
        </w:rPr>
        <w:t>‎‎Article 1. Approve the Report on production and business results in 2023 and the orientation for 2024.</w:t>
      </w:r>
    </w:p>
    <w:tbl>
      <w:tblPr>
        <w:tblStyle w:val="a"/>
        <w:tblW w:w="5000" w:type="pct"/>
        <w:tblLook w:val="0000" w:firstRow="0" w:lastRow="0" w:firstColumn="0" w:lastColumn="0" w:noHBand="0" w:noVBand="0"/>
      </w:tblPr>
      <w:tblGrid>
        <w:gridCol w:w="4114"/>
        <w:gridCol w:w="1699"/>
        <w:gridCol w:w="3216"/>
      </w:tblGrid>
      <w:tr w:rsidR="00C014C6" w:rsidRPr="00D32CF3" w14:paraId="1756077F" w14:textId="77777777" w:rsidTr="00D32CF3">
        <w:tc>
          <w:tcPr>
            <w:tcW w:w="2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E565B1A" w14:textId="77777777" w:rsidR="00C014C6" w:rsidRPr="00D32CF3" w:rsidRDefault="00D32CF3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 xml:space="preserve">Expected 2023 Results 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F1BF00" w14:textId="77777777" w:rsidR="00C014C6" w:rsidRPr="00D32CF3" w:rsidRDefault="00C014C6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2393292" w14:textId="77777777" w:rsidR="00C014C6" w:rsidRPr="00D32CF3" w:rsidRDefault="00C014C6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014C6" w:rsidRPr="00D32CF3" w14:paraId="5ABBAE11" w14:textId="77777777" w:rsidTr="00D32CF3">
        <w:tc>
          <w:tcPr>
            <w:tcW w:w="2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6A61BC" w14:textId="77777777" w:rsidR="00C014C6" w:rsidRPr="00D32CF3" w:rsidRDefault="00D32CF3" w:rsidP="005C5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Revenue: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3457E4" w14:textId="77777777" w:rsidR="00C014C6" w:rsidRPr="00D32CF3" w:rsidRDefault="00D32CF3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904,749</w:t>
            </w:r>
          </w:p>
        </w:tc>
        <w:tc>
          <w:tcPr>
            <w:tcW w:w="1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91CA38F" w14:textId="77777777" w:rsidR="00C014C6" w:rsidRPr="00D32CF3" w:rsidRDefault="00D32CF3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</w:tr>
      <w:tr w:rsidR="00C014C6" w:rsidRPr="00D32CF3" w14:paraId="2EBB5199" w14:textId="77777777" w:rsidTr="00D32CF3">
        <w:tc>
          <w:tcPr>
            <w:tcW w:w="2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11AB99" w14:textId="77777777" w:rsidR="00C014C6" w:rsidRPr="00D32CF3" w:rsidRDefault="00D32CF3" w:rsidP="005C5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Profit before tax: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9F0FC39" w14:textId="77777777" w:rsidR="00C014C6" w:rsidRPr="00D32CF3" w:rsidRDefault="00D32CF3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44,376</w:t>
            </w:r>
          </w:p>
        </w:tc>
        <w:tc>
          <w:tcPr>
            <w:tcW w:w="1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D09096D" w14:textId="77777777" w:rsidR="00C014C6" w:rsidRPr="00D32CF3" w:rsidRDefault="00D32CF3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</w:tr>
      <w:tr w:rsidR="00C014C6" w:rsidRPr="00D32CF3" w14:paraId="6F103B8D" w14:textId="77777777" w:rsidTr="00D32CF3">
        <w:tc>
          <w:tcPr>
            <w:tcW w:w="2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3361A7E" w14:textId="77777777" w:rsidR="00C014C6" w:rsidRPr="00D32CF3" w:rsidRDefault="00D32CF3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Expected 2024 Plan: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DA351A8" w14:textId="77777777" w:rsidR="00C014C6" w:rsidRPr="00D32CF3" w:rsidRDefault="00C014C6" w:rsidP="005C59AD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D805380" w14:textId="77777777" w:rsidR="00C014C6" w:rsidRPr="00D32CF3" w:rsidRDefault="00C014C6" w:rsidP="005C59AD">
            <w:pP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C014C6" w:rsidRPr="00D32CF3" w14:paraId="3B3F212B" w14:textId="77777777" w:rsidTr="00D32CF3">
        <w:tc>
          <w:tcPr>
            <w:tcW w:w="2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C97958" w14:textId="77777777" w:rsidR="00C014C6" w:rsidRPr="00D32CF3" w:rsidRDefault="00D32CF3" w:rsidP="005C5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Revenue: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8411F2D" w14:textId="77777777" w:rsidR="00C014C6" w:rsidRPr="00D32CF3" w:rsidRDefault="00D32CF3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900,000</w:t>
            </w:r>
          </w:p>
        </w:tc>
        <w:tc>
          <w:tcPr>
            <w:tcW w:w="1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55E501" w14:textId="77777777" w:rsidR="00C014C6" w:rsidRPr="00D32CF3" w:rsidRDefault="00D32CF3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</w:tr>
      <w:tr w:rsidR="00C014C6" w:rsidRPr="00D32CF3" w14:paraId="01C63D10" w14:textId="77777777" w:rsidTr="00D32CF3">
        <w:tc>
          <w:tcPr>
            <w:tcW w:w="2278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FE8453C" w14:textId="77777777" w:rsidR="00C014C6" w:rsidRPr="00D32CF3" w:rsidRDefault="00D32CF3" w:rsidP="005C59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ind w:left="0" w:firstLine="0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Profit before tax:</w:t>
            </w:r>
          </w:p>
        </w:tc>
        <w:tc>
          <w:tcPr>
            <w:tcW w:w="94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B50E1A" w14:textId="77777777" w:rsidR="00C014C6" w:rsidRPr="00D32CF3" w:rsidRDefault="00D32CF3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50,000</w:t>
            </w:r>
          </w:p>
        </w:tc>
        <w:tc>
          <w:tcPr>
            <w:tcW w:w="1781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8EAC64D" w14:textId="77777777" w:rsidR="00C014C6" w:rsidRPr="00D32CF3" w:rsidRDefault="00D32CF3" w:rsidP="005C5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"/>
              </w:tabs>
              <w:spacing w:after="120" w:line="360" w:lineRule="auto"/>
              <w:jc w:val="both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D32CF3">
              <w:rPr>
                <w:rFonts w:ascii="Arial" w:hAnsi="Arial" w:cs="Arial"/>
                <w:color w:val="010000"/>
                <w:sz w:val="20"/>
              </w:rPr>
              <w:t>Million VND</w:t>
            </w:r>
          </w:p>
        </w:tc>
      </w:tr>
    </w:tbl>
    <w:p w14:paraId="2D212E0F" w14:textId="180136BE" w:rsidR="00C014C6" w:rsidRPr="00D32CF3" w:rsidRDefault="00D32CF3" w:rsidP="005C59A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2CF3">
        <w:rPr>
          <w:rFonts w:ascii="Arial" w:hAnsi="Arial" w:cs="Arial"/>
          <w:color w:val="010000"/>
          <w:sz w:val="20"/>
        </w:rPr>
        <w:t>‎‎Article 2. Report on consolidated production and business results in 2023</w:t>
      </w:r>
    </w:p>
    <w:p w14:paraId="6CF0C579" w14:textId="77777777" w:rsidR="00C014C6" w:rsidRPr="00D32CF3" w:rsidRDefault="00D32CF3" w:rsidP="005C59A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2CF3">
        <w:rPr>
          <w:rFonts w:ascii="Arial" w:hAnsi="Arial" w:cs="Arial"/>
          <w:color w:val="010000"/>
          <w:sz w:val="20"/>
        </w:rPr>
        <w:t>Article 3: Report on the activities in 2023 and the operating plan for 2024 of MEKOPHAR BP.</w:t>
      </w:r>
    </w:p>
    <w:p w14:paraId="6BD4A37F" w14:textId="77777777" w:rsidR="00C014C6" w:rsidRPr="00D32CF3" w:rsidRDefault="00D32CF3" w:rsidP="005C59A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2CF3">
        <w:rPr>
          <w:rFonts w:ascii="Arial" w:hAnsi="Arial" w:cs="Arial"/>
          <w:color w:val="010000"/>
          <w:sz w:val="20"/>
        </w:rPr>
        <w:t xml:space="preserve">Article 4: Summary report on activities in 2023 and operating orientation in 2024 of </w:t>
      </w:r>
      <w:proofErr w:type="spellStart"/>
      <w:r w:rsidRPr="00D32CF3">
        <w:rPr>
          <w:rFonts w:ascii="Arial" w:hAnsi="Arial" w:cs="Arial"/>
          <w:color w:val="010000"/>
          <w:sz w:val="20"/>
        </w:rPr>
        <w:t>MekoStem</w:t>
      </w:r>
      <w:proofErr w:type="spellEnd"/>
      <w:r w:rsidRPr="00D32CF3">
        <w:rPr>
          <w:rFonts w:ascii="Arial" w:hAnsi="Arial" w:cs="Arial"/>
          <w:color w:val="010000"/>
          <w:sz w:val="20"/>
        </w:rPr>
        <w:t xml:space="preserve"> Stem Cell Bank.</w:t>
      </w:r>
    </w:p>
    <w:p w14:paraId="579138BF" w14:textId="77777777" w:rsidR="00C014C6" w:rsidRPr="00D32CF3" w:rsidRDefault="00D32CF3" w:rsidP="005C59AD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D32CF3">
        <w:rPr>
          <w:rFonts w:ascii="Arial" w:hAnsi="Arial" w:cs="Arial"/>
          <w:color w:val="010000"/>
          <w:sz w:val="20"/>
        </w:rPr>
        <w:t>Article 5: Terms of enforcement:</w:t>
      </w:r>
    </w:p>
    <w:p w14:paraId="793AC9BB" w14:textId="3F5C2A3B" w:rsidR="00C014C6" w:rsidRPr="00D32CF3" w:rsidRDefault="00D32CF3" w:rsidP="005C59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  <w:sectPr w:rsidR="00C014C6" w:rsidRPr="00D32CF3" w:rsidSect="00D32CF3">
          <w:pgSz w:w="11909" w:h="16840"/>
          <w:pgMar w:top="1440" w:right="1440" w:bottom="1440" w:left="1440" w:header="0" w:footer="3" w:gutter="0"/>
          <w:pgNumType w:start="1"/>
          <w:cols w:space="720"/>
          <w:docGrid w:linePitch="326"/>
        </w:sectPr>
      </w:pPr>
      <w:r w:rsidRPr="00D32CF3">
        <w:rPr>
          <w:rFonts w:ascii="Arial" w:hAnsi="Arial" w:cs="Arial"/>
          <w:color w:val="010000"/>
          <w:sz w:val="20"/>
        </w:rPr>
        <w:t xml:space="preserve">This </w:t>
      </w:r>
      <w:r w:rsidR="005C59AD">
        <w:rPr>
          <w:rFonts w:ascii="Arial" w:hAnsi="Arial" w:cs="Arial"/>
          <w:color w:val="010000"/>
          <w:sz w:val="20"/>
        </w:rPr>
        <w:t xml:space="preserve">Board </w:t>
      </w:r>
      <w:r w:rsidRPr="00D32CF3">
        <w:rPr>
          <w:rFonts w:ascii="Arial" w:hAnsi="Arial" w:cs="Arial"/>
          <w:color w:val="010000"/>
          <w:sz w:val="20"/>
        </w:rPr>
        <w:t>Resolution takes effect from the date of its signing.</w:t>
      </w:r>
    </w:p>
    <w:p w14:paraId="5F59FCAC" w14:textId="3F9D9848" w:rsidR="00C014C6" w:rsidRPr="00D32CF3" w:rsidRDefault="005C59AD" w:rsidP="005C59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 w:cs="Arial"/>
          <w:color w:val="010000"/>
          <w:sz w:val="20"/>
        </w:rPr>
        <w:lastRenderedPageBreak/>
        <w:t>The Executive Board</w:t>
      </w:r>
      <w:bookmarkStart w:id="1" w:name="_GoBack"/>
      <w:bookmarkEnd w:id="1"/>
      <w:r w:rsidR="00D32CF3" w:rsidRPr="00D32CF3">
        <w:rPr>
          <w:rFonts w:ascii="Arial" w:hAnsi="Arial" w:cs="Arial"/>
          <w:color w:val="010000"/>
          <w:sz w:val="20"/>
        </w:rPr>
        <w:t xml:space="preserve"> and relevant departments of the Company are responsible for implementing this Resolution.</w:t>
      </w:r>
    </w:p>
    <w:sectPr w:rsidR="00C014C6" w:rsidRPr="00D32CF3" w:rsidSect="00D32CF3">
      <w:type w:val="continuous"/>
      <w:pgSz w:w="11909" w:h="16840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66A2"/>
    <w:multiLevelType w:val="multilevel"/>
    <w:tmpl w:val="CC9E729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05B5EA0"/>
    <w:multiLevelType w:val="multilevel"/>
    <w:tmpl w:val="0A86F59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4C6"/>
    <w:rsid w:val="005C59AD"/>
    <w:rsid w:val="00C014C6"/>
    <w:rsid w:val="00D3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CD0D34"/>
  <w15:docId w15:val="{8DDFB9B6-CB1B-4974-BB93-0DD705142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DD2A2E"/>
      <w:sz w:val="19"/>
      <w:szCs w:val="19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color w:val="DD2A2E"/>
      <w:sz w:val="26"/>
      <w:szCs w:val="26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4"/>
      <w:szCs w:val="14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88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Normal"/>
    <w:link w:val="Other"/>
    <w:pPr>
      <w:spacing w:line="288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Normal"/>
    <w:link w:val="Bodytext4"/>
    <w:pPr>
      <w:spacing w:line="298" w:lineRule="auto"/>
      <w:jc w:val="center"/>
    </w:pPr>
    <w:rPr>
      <w:rFonts w:ascii="Tahoma" w:eastAsia="Tahoma" w:hAnsi="Tahoma" w:cs="Tahoma"/>
      <w:color w:val="DD2A2E"/>
      <w:sz w:val="19"/>
      <w:szCs w:val="19"/>
    </w:rPr>
  </w:style>
  <w:style w:type="paragraph" w:customStyle="1" w:styleId="Bodytext50">
    <w:name w:val="Body text (5)"/>
    <w:basedOn w:val="Normal"/>
    <w:link w:val="Bodytext5"/>
    <w:pPr>
      <w:ind w:firstLine="160"/>
    </w:pPr>
    <w:rPr>
      <w:rFonts w:ascii="Tahoma" w:eastAsia="Tahoma" w:hAnsi="Tahoma" w:cs="Tahoma"/>
      <w:color w:val="DD2A2E"/>
      <w:sz w:val="26"/>
      <w:szCs w:val="26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Bodytext20">
    <w:name w:val="Body text (2)"/>
    <w:basedOn w:val="Normal"/>
    <w:link w:val="Bodytext2"/>
    <w:pPr>
      <w:spacing w:line="223" w:lineRule="auto"/>
    </w:pPr>
    <w:rPr>
      <w:rFonts w:ascii="Times New Roman" w:eastAsia="Times New Roman" w:hAnsi="Times New Roman" w:cs="Times New Roman"/>
      <w:color w:val="FF0000"/>
      <w:sz w:val="14"/>
      <w:szCs w:val="1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awQiFSvKAs/QQ6cfxtiy9ENMtg==">CgMxLjAyCGguZ2pkZ3hzOAByITFkU1lDZ1ZrcDhFRkdldXF6RmpxSzh1empuN0ZxVkYzNw==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2</cp:revision>
  <dcterms:created xsi:type="dcterms:W3CDTF">2024-01-31T03:24:00Z</dcterms:created>
  <dcterms:modified xsi:type="dcterms:W3CDTF">2024-01-31T03:24:00Z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89ce28fe720eba759fed98dd79b1036fc268307444af3c05f95716aef4139d3e</vt:lpwstr>
  </property>
</Properties>
</file>