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80DE5" w14:textId="77777777" w:rsidR="008F4CB2" w:rsidRDefault="00B03101" w:rsidP="000326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VCT: Annual Corporate Governance 2023</w:t>
      </w:r>
    </w:p>
    <w:p w14:paraId="0ACA07B3" w14:textId="63F4F109" w:rsidR="008F4CB2" w:rsidRDefault="00E770BD" w:rsidP="000326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</w:t>
      </w:r>
      <w:r w:rsidR="00B03101">
        <w:rPr>
          <w:rFonts w:ascii="Arial" w:hAnsi="Arial"/>
          <w:color w:val="010000"/>
          <w:sz w:val="20"/>
        </w:rPr>
        <w:t xml:space="preserve">January 24, 2024, </w:t>
      </w:r>
      <w:proofErr w:type="spellStart"/>
      <w:r w:rsidR="00B03101">
        <w:rPr>
          <w:rFonts w:ascii="Arial" w:hAnsi="Arial"/>
          <w:color w:val="010000"/>
          <w:sz w:val="20"/>
        </w:rPr>
        <w:t>Vinaconex's</w:t>
      </w:r>
      <w:proofErr w:type="spellEnd"/>
      <w:r w:rsidR="00B03101">
        <w:rPr>
          <w:rFonts w:ascii="Arial" w:hAnsi="Arial"/>
          <w:color w:val="010000"/>
          <w:sz w:val="20"/>
        </w:rPr>
        <w:t xml:space="preserve"> Construct Consultant JSC announced the Annual Report on the Corporate Governance in 2023 as follows: </w:t>
      </w:r>
    </w:p>
    <w:tbl>
      <w:tblPr>
        <w:tblStyle w:val="a"/>
        <w:tblW w:w="9027" w:type="dxa"/>
        <w:tblLayout w:type="fixed"/>
        <w:tblLook w:val="0400" w:firstRow="0" w:lastRow="0" w:firstColumn="0" w:lastColumn="0" w:noHBand="0" w:noVBand="1"/>
      </w:tblPr>
      <w:tblGrid>
        <w:gridCol w:w="9027"/>
      </w:tblGrid>
      <w:tr w:rsidR="00057D2E" w14:paraId="47EF2F3F" w14:textId="77777777" w:rsidTr="001F4E24">
        <w:tc>
          <w:tcPr>
            <w:tcW w:w="9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8B377" w14:textId="77777777" w:rsidR="00057D2E" w:rsidRDefault="00057D2E" w:rsidP="000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Name of company: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Vinaconex's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Construct Consultant JSC</w:t>
            </w:r>
          </w:p>
          <w:p w14:paraId="45437513" w14:textId="0845A00C" w:rsidR="00057D2E" w:rsidRDefault="00057D2E" w:rsidP="000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Address of Head office: Floor 4 + 5, House D9,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Khuat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Duy Tien Street, Thanh Xuan Bac Ward, Thanh Xuan District, Hanoi City.</w:t>
            </w:r>
          </w:p>
        </w:tc>
      </w:tr>
      <w:tr w:rsidR="00057D2E" w14:paraId="65FCE225" w14:textId="77777777" w:rsidTr="001F5D90">
        <w:tc>
          <w:tcPr>
            <w:tcW w:w="9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8A19D" w14:textId="7C218B2C" w:rsidR="00057D2E" w:rsidRDefault="00057D2E" w:rsidP="000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Transaction office: 6th floor, house 25T2.N05,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Chinh, Hanoi</w:t>
            </w:r>
          </w:p>
        </w:tc>
      </w:tr>
      <w:tr w:rsidR="00057D2E" w14:paraId="7D126C88" w14:textId="77777777" w:rsidTr="00C40EC2">
        <w:tc>
          <w:tcPr>
            <w:tcW w:w="9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AB585" w14:textId="654B06C8" w:rsidR="00057D2E" w:rsidRDefault="00057D2E" w:rsidP="000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Phone number: 024.22430309        Email: </w:t>
            </w:r>
            <w:hyperlink r:id="rId6">
              <w:r>
                <w:rPr>
                  <w:rFonts w:ascii="Arial" w:hAnsi="Arial"/>
                  <w:color w:val="010000"/>
                  <w:sz w:val="20"/>
                </w:rPr>
                <w:t>vinaconsultjsc.vinaconex@gmail.com</w:t>
              </w:r>
            </w:hyperlink>
          </w:p>
        </w:tc>
      </w:tr>
      <w:tr w:rsidR="00057D2E" w14:paraId="42C97BED" w14:textId="77777777" w:rsidTr="00A147C2">
        <w:tc>
          <w:tcPr>
            <w:tcW w:w="9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AC30C" w14:textId="5CAA33E7" w:rsidR="00057D2E" w:rsidRDefault="00057D2E" w:rsidP="000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Charter capital: VND 11,000,000,000</w:t>
            </w:r>
          </w:p>
        </w:tc>
      </w:tr>
      <w:tr w:rsidR="00057D2E" w14:paraId="6AE43226" w14:textId="77777777" w:rsidTr="003F6F1D">
        <w:tc>
          <w:tcPr>
            <w:tcW w:w="9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678C7" w14:textId="0D7FDB07" w:rsidR="00057D2E" w:rsidRDefault="00057D2E" w:rsidP="000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Securities code: VCT</w:t>
            </w:r>
          </w:p>
        </w:tc>
      </w:tr>
    </w:tbl>
    <w:p w14:paraId="4F64BD10" w14:textId="0AA26E66" w:rsidR="008F4CB2" w:rsidRDefault="00B03101" w:rsidP="000326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</w:t>
      </w:r>
      <w:r w:rsidR="0003269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Board of Directors, Supervisory Board, and </w:t>
      </w:r>
      <w:r w:rsidR="000326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66B5DFF5" w14:textId="3EF5167F" w:rsidR="008F4CB2" w:rsidRDefault="0003269C" w:rsidP="000326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 w:rsidR="00B03101">
        <w:rPr>
          <w:rFonts w:ascii="Arial" w:hAnsi="Arial"/>
          <w:color w:val="010000"/>
          <w:sz w:val="20"/>
        </w:rPr>
        <w:t>: Unimplemented.</w:t>
      </w:r>
    </w:p>
    <w:p w14:paraId="6A5DAF57" w14:textId="029ED534" w:rsidR="008F4CB2" w:rsidRDefault="00B03101" w:rsidP="000326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03269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271C87AE" w14:textId="5C260655" w:rsidR="008F4CB2" w:rsidRDefault="00B03101" w:rsidP="000326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03269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03269C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2371"/>
        <w:gridCol w:w="1620"/>
        <w:gridCol w:w="4522"/>
      </w:tblGrid>
      <w:tr w:rsidR="008F4CB2" w14:paraId="790D7106" w14:textId="77777777" w:rsidTr="0003269C">
        <w:tc>
          <w:tcPr>
            <w:tcW w:w="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DE758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0D93C" w14:textId="31326399" w:rsidR="008F4CB2" w:rsidRDefault="00AA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03269C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AAA77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A5EA3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8F4CB2" w14:paraId="38F0AE2B" w14:textId="77777777" w:rsidTr="0003269C">
        <w:tc>
          <w:tcPr>
            <w:tcW w:w="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5DCE8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CC77D" w14:textId="7D02516A" w:rsidR="008F4CB2" w:rsidRDefault="00B03101" w:rsidP="0005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01/NQ-DHCD/CTTV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DF994" w14:textId="37641246" w:rsidR="008F4CB2" w:rsidRDefault="000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C5D35" w14:textId="77777777" w:rsidR="008F4CB2" w:rsidRDefault="00B03101" w:rsidP="0005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04568177" w14:textId="77777777" w:rsidR="008F4CB2" w:rsidRDefault="00B031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Board of Directors (2023):</w:t>
      </w:r>
    </w:p>
    <w:p w14:paraId="05B15D8B" w14:textId="77777777" w:rsidR="008F4CB2" w:rsidRDefault="00B03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518"/>
        <w:gridCol w:w="1565"/>
        <w:gridCol w:w="1459"/>
        <w:gridCol w:w="923"/>
        <w:gridCol w:w="1176"/>
        <w:gridCol w:w="833"/>
      </w:tblGrid>
      <w:tr w:rsidR="008F4CB2" w14:paraId="1705C28C" w14:textId="77777777"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E5087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3F2E8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A7A08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885A2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B7417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meetings attended by the Board of Directors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160D6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CBA59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Reason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absense</w:t>
            </w:r>
            <w:proofErr w:type="spellEnd"/>
          </w:p>
        </w:tc>
      </w:tr>
      <w:tr w:rsidR="008F4CB2" w14:paraId="13A13EE8" w14:textId="77777777"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54302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88EE1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Thu Huong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DF778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BBD77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2022</w:t>
            </w: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05645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A7F50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30FC8" w14:textId="77777777" w:rsidR="008F4CB2" w:rsidRDefault="008F4CB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F4CB2" w14:paraId="0352A317" w14:textId="77777777"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6F631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F7A36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Phan Hong Quang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03D3D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 of Directors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A1BEA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March 31, 2022</w:t>
            </w: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D8FD1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2F40F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9A098" w14:textId="77777777" w:rsidR="008F4CB2" w:rsidRDefault="008F4CB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F4CB2" w14:paraId="08AD0402" w14:textId="77777777"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761DB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1C064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E7ECA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Directors: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2E9A4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2022</w:t>
            </w: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A25BF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7032E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1B9AD" w14:textId="77777777" w:rsidR="008F4CB2" w:rsidRDefault="008F4CB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07F7240" w14:textId="32E56D71" w:rsidR="008F4CB2" w:rsidRDefault="00032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AA04D3">
        <w:rPr>
          <w:rFonts w:ascii="Arial" w:hAnsi="Arial"/>
          <w:color w:val="010000"/>
          <w:sz w:val="20"/>
        </w:rPr>
        <w:t xml:space="preserve">Board </w:t>
      </w:r>
      <w:r w:rsidR="00B03101">
        <w:rPr>
          <w:rFonts w:ascii="Arial" w:hAnsi="Arial"/>
          <w:color w:val="010000"/>
          <w:sz w:val="20"/>
        </w:rPr>
        <w:t>Decisions for 2023: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2455"/>
        <w:gridCol w:w="1929"/>
        <w:gridCol w:w="4123"/>
      </w:tblGrid>
      <w:tr w:rsidR="008F4CB2" w14:paraId="71A5EDA6" w14:textId="77777777" w:rsidTr="0003269C">
        <w:tc>
          <w:tcPr>
            <w:tcW w:w="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F03EC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66C8B" w14:textId="6DBCA890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03269C">
              <w:rPr>
                <w:rFonts w:ascii="Arial" w:hAnsi="Arial"/>
                <w:color w:val="010000"/>
                <w:sz w:val="20"/>
              </w:rPr>
              <w:t>rd Resolution/Board Decision</w:t>
            </w:r>
          </w:p>
        </w:tc>
        <w:tc>
          <w:tcPr>
            <w:tcW w:w="1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EFB57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D398F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8F4CB2" w14:paraId="744688FC" w14:textId="77777777" w:rsidTr="0003269C">
        <w:tc>
          <w:tcPr>
            <w:tcW w:w="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AFD2F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F9B90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019/2023/QD-HDQT</w:t>
            </w:r>
          </w:p>
        </w:tc>
        <w:tc>
          <w:tcPr>
            <w:tcW w:w="1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FB295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17, 2023</w:t>
            </w:r>
          </w:p>
        </w:tc>
        <w:tc>
          <w:tcPr>
            <w:tcW w:w="4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30513" w14:textId="394557FB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Organize the Annual </w:t>
            </w:r>
            <w:r w:rsidR="0003269C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the Company.</w:t>
            </w:r>
          </w:p>
        </w:tc>
      </w:tr>
      <w:tr w:rsidR="008F4CB2" w14:paraId="607DBF5A" w14:textId="77777777" w:rsidTr="0003269C">
        <w:tc>
          <w:tcPr>
            <w:tcW w:w="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218A4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83766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</w:t>
            </w:r>
          </w:p>
        </w:tc>
        <w:tc>
          <w:tcPr>
            <w:tcW w:w="1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22C82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19, 2023</w:t>
            </w:r>
          </w:p>
        </w:tc>
        <w:tc>
          <w:tcPr>
            <w:tcW w:w="4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232A5" w14:textId="5CFA4059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Approval of the investment decision to purchase 133,313 shares in COTANA CAPITAL HOUSING INVESTMENT AND DEVELOPMENTJOINT STOCK COMPANY</w:t>
            </w:r>
          </w:p>
        </w:tc>
      </w:tr>
      <w:tr w:rsidR="008F4CB2" w14:paraId="3F79E411" w14:textId="77777777" w:rsidTr="0003269C">
        <w:tc>
          <w:tcPr>
            <w:tcW w:w="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2D09D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9E69B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</w:t>
            </w:r>
          </w:p>
        </w:tc>
        <w:tc>
          <w:tcPr>
            <w:tcW w:w="1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0C4C5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06, 2023</w:t>
            </w:r>
          </w:p>
        </w:tc>
        <w:tc>
          <w:tcPr>
            <w:tcW w:w="4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961CD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Selection of an audit company for the Financial Statements in 2023</w:t>
            </w:r>
          </w:p>
        </w:tc>
      </w:tr>
    </w:tbl>
    <w:p w14:paraId="422F3DE9" w14:textId="49EEAF1D" w:rsidR="008F4CB2" w:rsidRDefault="00B031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(in 2023):</w:t>
      </w:r>
    </w:p>
    <w:p w14:paraId="2966F667" w14:textId="77777777" w:rsidR="008F4CB2" w:rsidRDefault="00B031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850"/>
        <w:gridCol w:w="1542"/>
        <w:gridCol w:w="1416"/>
        <w:gridCol w:w="1077"/>
        <w:gridCol w:w="725"/>
        <w:gridCol w:w="878"/>
      </w:tblGrid>
      <w:tr w:rsidR="008F4CB2" w14:paraId="25B7FB3E" w14:textId="77777777">
        <w:tc>
          <w:tcPr>
            <w:tcW w:w="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79054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8C839" w14:textId="2F4DCFA8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60727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D31D7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DFAAB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meetings which the Supervisory Board has attended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64BD0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8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72E4D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absent</w:t>
            </w:r>
          </w:p>
        </w:tc>
      </w:tr>
      <w:tr w:rsidR="008F4CB2" w14:paraId="221DE61E" w14:textId="77777777">
        <w:tc>
          <w:tcPr>
            <w:tcW w:w="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E4701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6A94B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Hai Yen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9A615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55137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2022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97FCD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8A6A1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8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D2916" w14:textId="77777777" w:rsidR="008F4CB2" w:rsidRDefault="008F4CB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F4CB2" w14:paraId="78578DB8" w14:textId="77777777">
        <w:tc>
          <w:tcPr>
            <w:tcW w:w="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1DE6B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EA0AF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Ngoc Sam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7567C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D7EBC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2022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3A1CD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31575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8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AF721" w14:textId="77777777" w:rsidR="008F4CB2" w:rsidRDefault="008F4CB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F4CB2" w14:paraId="3A198576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4B8CA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1FB6B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To Thi Thuy Trang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71023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2E780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82312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62FE5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85389" w14:textId="77777777" w:rsidR="008F4CB2" w:rsidRDefault="008F4CB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021DFC8" w14:textId="6DF67089" w:rsidR="008F4CB2" w:rsidRDefault="00B031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822"/>
        <w:gridCol w:w="1531"/>
        <w:gridCol w:w="1416"/>
        <w:gridCol w:w="2723"/>
      </w:tblGrid>
      <w:tr w:rsidR="008F4CB2" w14:paraId="71DA4E70" w14:textId="77777777">
        <w:tc>
          <w:tcPr>
            <w:tcW w:w="5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29BF4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59E22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052F2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AEA86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2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40400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8F4CB2" w14:paraId="5400E216" w14:textId="77777777">
        <w:tc>
          <w:tcPr>
            <w:tcW w:w="5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001BE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FB4F6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1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DFA29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31, 1978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2EAF5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Architecture</w:t>
            </w:r>
          </w:p>
        </w:tc>
        <w:tc>
          <w:tcPr>
            <w:tcW w:w="2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CA0C7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15, 2022</w:t>
            </w:r>
          </w:p>
        </w:tc>
      </w:tr>
      <w:tr w:rsidR="008F4CB2" w14:paraId="0A2C84D3" w14:textId="77777777">
        <w:tc>
          <w:tcPr>
            <w:tcW w:w="5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E4022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F1F89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Ngoc Minh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993AD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1968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32392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</w:t>
            </w:r>
          </w:p>
        </w:tc>
        <w:tc>
          <w:tcPr>
            <w:tcW w:w="2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87C11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6, 2019</w:t>
            </w:r>
          </w:p>
        </w:tc>
      </w:tr>
      <w:tr w:rsidR="008F4CB2" w14:paraId="7106574A" w14:textId="77777777">
        <w:tc>
          <w:tcPr>
            <w:tcW w:w="5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054D0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2984F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Quang Long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A0C5C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23, 1983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8C9FC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Architect</w:t>
            </w:r>
          </w:p>
        </w:tc>
        <w:tc>
          <w:tcPr>
            <w:tcW w:w="2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9BAF6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4, 2022</w:t>
            </w:r>
          </w:p>
        </w:tc>
      </w:tr>
    </w:tbl>
    <w:p w14:paraId="1B4FAFB1" w14:textId="1AF4CEAA" w:rsidR="008F4CB2" w:rsidRDefault="00B031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Accountant/Person in charge of accounting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866"/>
        <w:gridCol w:w="1913"/>
        <w:gridCol w:w="2723"/>
      </w:tblGrid>
      <w:tr w:rsidR="008F4CB2" w14:paraId="47B875BC" w14:textId="77777777" w:rsidTr="0003269C">
        <w:tc>
          <w:tcPr>
            <w:tcW w:w="2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3CBE0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14185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B496E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2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CF10F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</w:t>
            </w:r>
          </w:p>
        </w:tc>
      </w:tr>
      <w:tr w:rsidR="008F4CB2" w14:paraId="6ADEE423" w14:textId="77777777" w:rsidTr="0003269C">
        <w:tc>
          <w:tcPr>
            <w:tcW w:w="2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98A5D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Hong Chung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DB5D3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03, 1981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547A8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AB002" w14:textId="77777777" w:rsidR="008F4CB2" w:rsidRDefault="00B0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15, 2022</w:t>
            </w:r>
          </w:p>
        </w:tc>
      </w:tr>
    </w:tbl>
    <w:p w14:paraId="03E30163" w14:textId="77777777" w:rsidR="008F4CB2" w:rsidRDefault="00B03101" w:rsidP="000326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36B8F162" w14:textId="7AFCFFFB" w:rsidR="008F4CB2" w:rsidRDefault="00B03101" w:rsidP="000326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0326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listed company and transactions between </w:t>
      </w:r>
      <w:r w:rsidR="000326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7010FBD7" w14:textId="488B7D2F" w:rsidR="008F4CB2" w:rsidRDefault="00B03101" w:rsidP="000326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its </w:t>
      </w:r>
      <w:r w:rsidR="000326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persons; or between the Company and major shareholders, PDMR, or </w:t>
      </w:r>
      <w:r w:rsidR="000326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569A4CA2" w14:textId="77777777" w:rsidR="008F4CB2" w:rsidRDefault="00B03101" w:rsidP="000326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VCG divests 22% of its ownership of VCT shares to Mr. Nguyen Quang </w:t>
      </w:r>
      <w:proofErr w:type="spellStart"/>
      <w:r>
        <w:rPr>
          <w:rFonts w:ascii="Arial" w:hAnsi="Arial"/>
          <w:color w:val="010000"/>
          <w:sz w:val="20"/>
        </w:rPr>
        <w:t>Huy</w:t>
      </w:r>
      <w:proofErr w:type="spellEnd"/>
    </w:p>
    <w:p w14:paraId="787AC17C" w14:textId="77777777" w:rsidR="008F4CB2" w:rsidRDefault="00B03101" w:rsidP="000326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VCG divests 26% of its ownership of VCT shares to Ms. Nguyen Thi Thu Huong</w:t>
      </w:r>
    </w:p>
    <w:p w14:paraId="185D9BB3" w14:textId="18802226" w:rsidR="008F4CB2" w:rsidRDefault="00B03101" w:rsidP="000326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listed company, </w:t>
      </w:r>
      <w:r w:rsidR="000326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listed company: None.</w:t>
      </w:r>
    </w:p>
    <w:p w14:paraId="5A2AD9FF" w14:textId="77777777" w:rsidR="008F4CB2" w:rsidRDefault="00B03101" w:rsidP="000326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</w:t>
      </w:r>
    </w:p>
    <w:p w14:paraId="38F9FFC7" w14:textId="09BC42FD" w:rsidR="008F4CB2" w:rsidRDefault="00B03101" w:rsidP="000326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in which members of the Board of directors, members of the Supervisory </w:t>
      </w:r>
      <w:r w:rsidR="0003269C">
        <w:rPr>
          <w:rFonts w:ascii="Arial" w:hAnsi="Arial"/>
          <w:color w:val="010000"/>
          <w:sz w:val="20"/>
        </w:rPr>
        <w:t>Board and</w:t>
      </w:r>
      <w:bookmarkStart w:id="0" w:name="_GoBack"/>
      <w:bookmarkEnd w:id="0"/>
      <w:r w:rsidR="0003269C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Executive Manager (</w:t>
      </w:r>
      <w:r w:rsidR="000326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</w:t>
      </w:r>
      <w:r w:rsidR="0003269C">
        <w:rPr>
          <w:rFonts w:ascii="Arial" w:hAnsi="Arial"/>
          <w:color w:val="010000"/>
          <w:sz w:val="20"/>
        </w:rPr>
        <w:t xml:space="preserve"> who</w:t>
      </w:r>
      <w:r>
        <w:rPr>
          <w:rFonts w:ascii="Arial" w:hAnsi="Arial"/>
          <w:color w:val="010000"/>
          <w:sz w:val="20"/>
        </w:rPr>
        <w:t xml:space="preserve"> have been founding members or member</w:t>
      </w:r>
      <w:r w:rsidR="0003269C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0326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</w:t>
      </w:r>
      <w:r w:rsidR="0003269C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None.</w:t>
      </w:r>
    </w:p>
    <w:p w14:paraId="69D63D99" w14:textId="4708559F" w:rsidR="008F4CB2" w:rsidRDefault="00B03101" w:rsidP="000326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that </w:t>
      </w:r>
      <w:r w:rsidR="000326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</w:t>
      </w:r>
      <w:r w:rsidR="0003269C">
        <w:rPr>
          <w:rFonts w:ascii="Arial" w:hAnsi="Arial"/>
          <w:color w:val="010000"/>
          <w:sz w:val="20"/>
        </w:rPr>
        <w:t xml:space="preserve">f the Supervisory Board and </w:t>
      </w:r>
      <w:r>
        <w:rPr>
          <w:rFonts w:ascii="Arial" w:hAnsi="Arial"/>
          <w:color w:val="010000"/>
          <w:sz w:val="20"/>
        </w:rPr>
        <w:t>Executive Manager (</w:t>
      </w:r>
      <w:r w:rsidR="000326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</w:t>
      </w:r>
      <w:r w:rsidR="0003269C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</w:t>
      </w:r>
      <w:r w:rsidR="0003269C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0326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5B05FB49" w14:textId="16163AC9" w:rsidR="008F4CB2" w:rsidRDefault="00B03101" w:rsidP="000326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03269C">
        <w:rPr>
          <w:rFonts w:ascii="Arial" w:hAnsi="Arial"/>
          <w:color w:val="010000"/>
          <w:sz w:val="20"/>
        </w:rPr>
        <w:t>f the Supervisory Board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0326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). None.</w:t>
      </w:r>
    </w:p>
    <w:p w14:paraId="0F85FE28" w14:textId="77777777" w:rsidR="008F4CB2" w:rsidRDefault="00B03101" w:rsidP="000326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related persons of PDMR:</w:t>
      </w:r>
    </w:p>
    <w:p w14:paraId="227407D2" w14:textId="4424DD51" w:rsidR="008F4CB2" w:rsidRDefault="00B03101" w:rsidP="00032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of PDMR and </w:t>
      </w:r>
      <w:r w:rsidR="000326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for shares of listed companies</w:t>
      </w:r>
    </w:p>
    <w:p w14:paraId="585CBB1C" w14:textId="77777777" w:rsidR="008F4CB2" w:rsidRDefault="00B03101" w:rsidP="000326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Other significant issues: None</w:t>
      </w:r>
    </w:p>
    <w:sectPr w:rsidR="008F4CB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E4B"/>
    <w:multiLevelType w:val="multilevel"/>
    <w:tmpl w:val="F4446C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91D24B7"/>
    <w:multiLevelType w:val="multilevel"/>
    <w:tmpl w:val="5B844E2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CF513E1"/>
    <w:multiLevelType w:val="multilevel"/>
    <w:tmpl w:val="B8EEFA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3245084"/>
    <w:multiLevelType w:val="multilevel"/>
    <w:tmpl w:val="48BE2B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8921898"/>
    <w:multiLevelType w:val="multilevel"/>
    <w:tmpl w:val="456E00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5D26B9B"/>
    <w:multiLevelType w:val="multilevel"/>
    <w:tmpl w:val="CE761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33A0"/>
    <w:multiLevelType w:val="multilevel"/>
    <w:tmpl w:val="80A83B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B2"/>
    <w:rsid w:val="0003269C"/>
    <w:rsid w:val="00057D2E"/>
    <w:rsid w:val="008256AE"/>
    <w:rsid w:val="008F4CB2"/>
    <w:rsid w:val="00AA04D3"/>
    <w:rsid w:val="00B03101"/>
    <w:rsid w:val="00E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1944"/>
  <w15:docId w15:val="{ECDDA4C9-FE9A-4922-9E94-29AEDDE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24A59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9" w:lineRule="auto"/>
    </w:pPr>
    <w:rPr>
      <w:rFonts w:ascii="Arial" w:eastAsia="Arial" w:hAnsi="Arial" w:cs="Arial"/>
      <w:sz w:val="14"/>
      <w:szCs w:val="14"/>
    </w:rPr>
  </w:style>
  <w:style w:type="paragraph" w:customStyle="1" w:styleId="Heading21">
    <w:name w:val="Heading #2"/>
    <w:basedOn w:val="Normal"/>
    <w:link w:val="Heading20"/>
    <w:pPr>
      <w:spacing w:line="230" w:lineRule="auto"/>
      <w:jc w:val="center"/>
      <w:outlineLvl w:val="1"/>
    </w:pPr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4"/>
      <w:szCs w:val="14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mallCaps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88" w:lineRule="auto"/>
      <w:ind w:firstLine="320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color w:val="E24A59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aconsultjsc.vinacone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IwvULMUBkCqBCaygnVnEBmvsRA==">CgMxLjA4AHIhMUpvaGR0emE5UDJxcElfZlZlb2lWT2pXU25ud0FudFlh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2024-01-31T10:53:00Z</dcterms:created>
  <dcterms:modified xsi:type="dcterms:W3CDTF">2024-01-31T10:53:00Z</dcterms:modified>
</cp:coreProperties>
</file>