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E40D" w14:textId="77777777" w:rsidR="0015628D" w:rsidRPr="00A236C5" w:rsidRDefault="0015628D" w:rsidP="00C56A73">
      <w:pPr>
        <w:pStyle w:val="Tiu20"/>
        <w:keepNext/>
        <w:tabs>
          <w:tab w:val="left" w:pos="360"/>
          <w:tab w:val="left" w:pos="1338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color w:val="010000"/>
          <w:sz w:val="20"/>
        </w:rPr>
        <w:t>VIN: Annual Corporate Governance 2023</w:t>
      </w:r>
    </w:p>
    <w:p w14:paraId="151B7B9C" w14:textId="5E94761C" w:rsidR="0015628D" w:rsidRPr="00A236C5" w:rsidRDefault="0015628D" w:rsidP="00C56A73">
      <w:pPr>
        <w:pStyle w:val="Tiu20"/>
        <w:keepNext/>
        <w:tabs>
          <w:tab w:val="left" w:pos="360"/>
          <w:tab w:val="left" w:pos="1338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On January 26, 2024, Vinatrans announced Report No. 44/BC-VIN on the corporate governance in 2023 as follows: </w:t>
      </w:r>
    </w:p>
    <w:p w14:paraId="13ECC3B2" w14:textId="404D05AD" w:rsidR="00EF14BE" w:rsidRPr="00A236C5" w:rsidRDefault="003A0E6D" w:rsidP="00C56A73">
      <w:pPr>
        <w:pStyle w:val="Tiu20"/>
        <w:keepNext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Name of public company: Vinatrans.</w:t>
      </w:r>
    </w:p>
    <w:p w14:paraId="19AB9D02" w14:textId="0704E3F3" w:rsidR="00FF09AF" w:rsidRPr="00A236C5" w:rsidRDefault="003A0E6D" w:rsidP="00C56A73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Headquarters address: No. 406 Nguyen Tat Thanh</w:t>
      </w:r>
      <w:r w:rsidR="00C56A73">
        <w:rPr>
          <w:rFonts w:ascii="Arial" w:hAnsi="Arial"/>
          <w:color w:val="010000"/>
          <w:sz w:val="20"/>
        </w:rPr>
        <w:t xml:space="preserve"> Road</w:t>
      </w:r>
      <w:r>
        <w:rPr>
          <w:rFonts w:ascii="Arial" w:hAnsi="Arial"/>
          <w:color w:val="010000"/>
          <w:sz w:val="20"/>
        </w:rPr>
        <w:t xml:space="preserve">, 18 Ward, 4 District, Ho Chi Minh City </w:t>
      </w:r>
    </w:p>
    <w:p w14:paraId="13ECC3B4" w14:textId="67B30D19" w:rsidR="00EF14BE" w:rsidRPr="00A236C5" w:rsidRDefault="003A0E6D" w:rsidP="00C56A73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Tel: (028) 39414919</w:t>
      </w:r>
    </w:p>
    <w:p w14:paraId="13ECC3B5" w14:textId="4589BBE9" w:rsidR="00EF14BE" w:rsidRPr="00A236C5" w:rsidRDefault="003A0E6D" w:rsidP="00C56A73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Charter capital: VND 255,000,000,000</w:t>
      </w:r>
    </w:p>
    <w:p w14:paraId="13ECC3B6" w14:textId="77777777" w:rsidR="00EF14BE" w:rsidRPr="00A236C5" w:rsidRDefault="003A0E6D" w:rsidP="00C56A73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Securities code: VIN</w:t>
      </w:r>
    </w:p>
    <w:p w14:paraId="13ECC3B7" w14:textId="34DB9716" w:rsidR="00EF14BE" w:rsidRPr="00A236C5" w:rsidRDefault="003A0E6D" w:rsidP="00C56A73">
      <w:pPr>
        <w:pStyle w:val="Vnbnnidung0"/>
        <w:numPr>
          <w:ilvl w:val="0"/>
          <w:numId w:val="1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C56A73">
        <w:rPr>
          <w:rFonts w:ascii="Arial" w:hAnsi="Arial"/>
          <w:color w:val="010000"/>
          <w:sz w:val="20"/>
        </w:rPr>
        <w:t>General Meeting, Board of Directors,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14:paraId="13ECC3B8" w14:textId="3D30D5B1" w:rsidR="00EF14BE" w:rsidRPr="00A236C5" w:rsidRDefault="003A0E6D" w:rsidP="00C56A73">
      <w:pPr>
        <w:pStyle w:val="Vnbnnidung0"/>
        <w:numPr>
          <w:ilvl w:val="0"/>
          <w:numId w:val="10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C56A73">
        <w:rPr>
          <w:rFonts w:ascii="Arial" w:hAnsi="Arial"/>
          <w:color w:val="010000"/>
          <w:sz w:val="20"/>
        </w:rPr>
        <w:t>General Meeting</w:t>
      </w:r>
    </w:p>
    <w:p w14:paraId="13ECC3B9" w14:textId="53FE186C" w:rsidR="00EF14BE" w:rsidRPr="00A236C5" w:rsidRDefault="003A0E6D" w:rsidP="00C56A73">
      <w:pPr>
        <w:pStyle w:val="Vnbnnidung20"/>
        <w:tabs>
          <w:tab w:val="left" w:pos="360"/>
        </w:tabs>
        <w:spacing w:after="120" w:line="360" w:lineRule="auto"/>
        <w:jc w:val="both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In 2023, the Company </w:t>
      </w:r>
      <w:r w:rsidR="00C56A73">
        <w:rPr>
          <w:rFonts w:ascii="Arial" w:hAnsi="Arial"/>
          <w:b w:val="0"/>
          <w:color w:val="010000"/>
          <w:sz w:val="20"/>
        </w:rPr>
        <w:t xml:space="preserve">convened </w:t>
      </w:r>
      <w:r>
        <w:rPr>
          <w:rFonts w:ascii="Arial" w:hAnsi="Arial"/>
          <w:b w:val="0"/>
          <w:color w:val="010000"/>
          <w:sz w:val="20"/>
        </w:rPr>
        <w:t>01 Annual Meeting on March 10, 2023: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2511"/>
        <w:gridCol w:w="1838"/>
        <w:gridCol w:w="8548"/>
      </w:tblGrid>
      <w:tr w:rsidR="00EF14BE" w:rsidRPr="00A236C5" w14:paraId="13ECC3BE" w14:textId="77777777" w:rsidTr="00CF0E12">
        <w:tc>
          <w:tcPr>
            <w:tcW w:w="377" w:type="pct"/>
            <w:shd w:val="clear" w:color="auto" w:fill="auto"/>
            <w:vAlign w:val="center"/>
          </w:tcPr>
          <w:p w14:paraId="13ECC3BA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3ECC3BB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No.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3ECC3BC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064" w:type="pct"/>
            <w:shd w:val="clear" w:color="auto" w:fill="auto"/>
            <w:vAlign w:val="center"/>
          </w:tcPr>
          <w:p w14:paraId="13ECC3BD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Approved contents</w:t>
            </w:r>
          </w:p>
        </w:tc>
      </w:tr>
      <w:tr w:rsidR="00CF0E12" w:rsidRPr="00A236C5" w14:paraId="13ECC3C3" w14:textId="77777777" w:rsidTr="00CF0E12">
        <w:trPr>
          <w:trHeight w:val="503"/>
        </w:trPr>
        <w:tc>
          <w:tcPr>
            <w:tcW w:w="377" w:type="pct"/>
            <w:shd w:val="clear" w:color="auto" w:fill="auto"/>
            <w:vAlign w:val="center"/>
          </w:tcPr>
          <w:p w14:paraId="13ECC3BF" w14:textId="77777777" w:rsidR="00CF0E12" w:rsidRPr="00A236C5" w:rsidRDefault="00CF0E12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1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3ECC3C0" w14:textId="77777777" w:rsidR="00CF0E12" w:rsidRPr="00A236C5" w:rsidRDefault="00CF0E12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50/NQ-VIN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3ECC3C1" w14:textId="77777777" w:rsidR="00CF0E12" w:rsidRPr="00A236C5" w:rsidRDefault="00CF0E12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3064" w:type="pct"/>
            <w:shd w:val="clear" w:color="auto" w:fill="auto"/>
            <w:vAlign w:val="center"/>
          </w:tcPr>
          <w:p w14:paraId="13ECC3C2" w14:textId="5257B002" w:rsidR="00CF0E12" w:rsidRPr="00A236C5" w:rsidRDefault="00CF0E12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13ECC40F" w14:textId="49223DE5" w:rsidR="00EF14BE" w:rsidRPr="00A236C5" w:rsidRDefault="003A0E6D" w:rsidP="0046703E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Board of Directors in 2023:</w:t>
      </w:r>
    </w:p>
    <w:p w14:paraId="13ECC410" w14:textId="391B8A38" w:rsidR="00EF14BE" w:rsidRPr="00A236C5" w:rsidRDefault="003A0E6D" w:rsidP="0046703E">
      <w:pPr>
        <w:pStyle w:val="Vnbnnidu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4185"/>
        <w:gridCol w:w="3007"/>
        <w:gridCol w:w="3080"/>
        <w:gridCol w:w="2675"/>
      </w:tblGrid>
      <w:tr w:rsidR="00C76425" w:rsidRPr="00A236C5" w14:paraId="13ECC415" w14:textId="77777777" w:rsidTr="00C76425">
        <w:tc>
          <w:tcPr>
            <w:tcW w:w="359" w:type="pct"/>
            <w:vMerge w:val="restart"/>
            <w:shd w:val="clear" w:color="auto" w:fill="auto"/>
            <w:vAlign w:val="center"/>
          </w:tcPr>
          <w:p w14:paraId="13ECC411" w14:textId="61E35054" w:rsidR="00EF14BE" w:rsidRPr="00A236C5" w:rsidRDefault="00CF0E12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14:paraId="13ECC412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 w14:paraId="13ECC413" w14:textId="11B825A8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64" w:type="pct"/>
            <w:gridSpan w:val="2"/>
            <w:shd w:val="clear" w:color="auto" w:fill="auto"/>
            <w:vAlign w:val="center"/>
          </w:tcPr>
          <w:p w14:paraId="13ECC414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C76425" w:rsidRPr="00A236C5" w14:paraId="13ECC41B" w14:textId="77777777" w:rsidTr="00C76425">
        <w:tc>
          <w:tcPr>
            <w:tcW w:w="359" w:type="pct"/>
            <w:vMerge/>
            <w:shd w:val="clear" w:color="auto" w:fill="auto"/>
            <w:vAlign w:val="center"/>
          </w:tcPr>
          <w:p w14:paraId="13ECC416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500" w:type="pct"/>
            <w:vMerge/>
            <w:shd w:val="clear" w:color="auto" w:fill="auto"/>
            <w:vAlign w:val="center"/>
          </w:tcPr>
          <w:p w14:paraId="13ECC417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078" w:type="pct"/>
            <w:vMerge/>
            <w:shd w:val="clear" w:color="auto" w:fill="auto"/>
            <w:vAlign w:val="center"/>
          </w:tcPr>
          <w:p w14:paraId="13ECC418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13ECC419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3ECC41A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C76425" w:rsidRPr="00A236C5" w14:paraId="13ECC421" w14:textId="77777777" w:rsidTr="00C76425">
        <w:tc>
          <w:tcPr>
            <w:tcW w:w="359" w:type="pct"/>
            <w:shd w:val="clear" w:color="auto" w:fill="auto"/>
            <w:vAlign w:val="center"/>
          </w:tcPr>
          <w:p w14:paraId="13ECC41C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1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3ECC41D" w14:textId="2AA537DA" w:rsidR="00EF14BE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Hoang Trong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3ECC41E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ECC41F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2021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3ECC420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</w:tr>
      <w:tr w:rsidR="00C76425" w:rsidRPr="00A236C5" w14:paraId="13ECC427" w14:textId="77777777" w:rsidTr="00C76425">
        <w:tc>
          <w:tcPr>
            <w:tcW w:w="359" w:type="pct"/>
            <w:shd w:val="clear" w:color="auto" w:fill="auto"/>
            <w:vAlign w:val="center"/>
          </w:tcPr>
          <w:p w14:paraId="13ECC422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3ECC423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Minh Huy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3ECC424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ECC425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3ECC426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C76425" w:rsidRPr="00A236C5" w14:paraId="13ECC42D" w14:textId="77777777" w:rsidTr="00C76425">
        <w:tc>
          <w:tcPr>
            <w:tcW w:w="359" w:type="pct"/>
            <w:shd w:val="clear" w:color="auto" w:fill="auto"/>
            <w:vAlign w:val="center"/>
          </w:tcPr>
          <w:p w14:paraId="13ECC428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3ECC429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Hoang Nhu Uyen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3ECC42A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ECC42B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2021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3ECC42C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C76425" w:rsidRPr="00A236C5" w14:paraId="13ECC433" w14:textId="77777777" w:rsidTr="00C76425">
        <w:tc>
          <w:tcPr>
            <w:tcW w:w="359" w:type="pct"/>
            <w:shd w:val="clear" w:color="auto" w:fill="auto"/>
            <w:vAlign w:val="center"/>
          </w:tcPr>
          <w:p w14:paraId="13ECC42E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4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3ECC42F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Thanh Tong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3ECC430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ECC431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3ECC432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C76425" w:rsidRPr="00A236C5" w14:paraId="13ECC439" w14:textId="77777777" w:rsidTr="00C76425">
        <w:tc>
          <w:tcPr>
            <w:tcW w:w="359" w:type="pct"/>
            <w:shd w:val="clear" w:color="auto" w:fill="auto"/>
            <w:vAlign w:val="center"/>
          </w:tcPr>
          <w:p w14:paraId="13ECC434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5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3ECC435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Thu Hien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3ECC436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ECC437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3ECC438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C76425" w:rsidRPr="00A236C5" w14:paraId="13ECC43F" w14:textId="77777777" w:rsidTr="00C76425">
        <w:tc>
          <w:tcPr>
            <w:tcW w:w="359" w:type="pct"/>
            <w:shd w:val="clear" w:color="auto" w:fill="auto"/>
            <w:vAlign w:val="center"/>
          </w:tcPr>
          <w:p w14:paraId="13ECC43A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6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3ECC43B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Thanh Do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3ECC43C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ECC43D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3ECC43E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13ECC47B" w14:textId="4DC4043F" w:rsidR="00EF14BE" w:rsidRPr="00A236C5" w:rsidRDefault="003A0E6D" w:rsidP="0046703E">
      <w:pPr>
        <w:pStyle w:val="Chthchb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Board Resolutions/</w:t>
      </w:r>
      <w:r w:rsidR="00B84150">
        <w:rPr>
          <w:rFonts w:ascii="Arial" w:hAnsi="Arial"/>
          <w:b w:val="0"/>
          <w:color w:val="010000"/>
          <w:sz w:val="20"/>
        </w:rPr>
        <w:t xml:space="preserve">Board </w:t>
      </w:r>
      <w:r>
        <w:rPr>
          <w:rFonts w:ascii="Arial" w:hAnsi="Arial"/>
          <w:b w:val="0"/>
          <w:color w:val="010000"/>
          <w:sz w:val="20"/>
        </w:rPr>
        <w:t>Decisions (2023):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2469"/>
        <w:gridCol w:w="2251"/>
        <w:gridCol w:w="8135"/>
      </w:tblGrid>
      <w:tr w:rsidR="004839CD" w:rsidRPr="00A236C5" w14:paraId="13ECC482" w14:textId="77777777" w:rsidTr="004839CD">
        <w:tc>
          <w:tcPr>
            <w:tcW w:w="392" w:type="pct"/>
            <w:shd w:val="clear" w:color="auto" w:fill="auto"/>
            <w:vAlign w:val="center"/>
          </w:tcPr>
          <w:p w14:paraId="13ECC47C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7E" w14:textId="2460B804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C56A73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7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80" w14:textId="2D803CE8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C56A73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839CD" w:rsidRPr="00A236C5" w14:paraId="13ECC488" w14:textId="77777777" w:rsidTr="004839CD">
        <w:tc>
          <w:tcPr>
            <w:tcW w:w="392" w:type="pct"/>
            <w:shd w:val="clear" w:color="auto" w:fill="auto"/>
            <w:vAlign w:val="center"/>
          </w:tcPr>
          <w:p w14:paraId="13ECC483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84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85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86" w14:textId="3BC0ED34" w:rsidR="004839CD" w:rsidRPr="00A236C5" w:rsidRDefault="004839CD" w:rsidP="00C56A73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rewarding the </w:t>
            </w:r>
            <w:r w:rsidR="00C56A73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</w:tr>
      <w:tr w:rsidR="004839CD" w:rsidRPr="00A236C5" w14:paraId="13ECC48E" w14:textId="77777777" w:rsidTr="004839CD">
        <w:tc>
          <w:tcPr>
            <w:tcW w:w="392" w:type="pct"/>
            <w:shd w:val="clear" w:color="auto" w:fill="auto"/>
            <w:vAlign w:val="center"/>
          </w:tcPr>
          <w:p w14:paraId="13ECC489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8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8B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09,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8C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evaluating the working results of Q4 and 2022, the key work plan for Q1/2023</w:t>
            </w:r>
          </w:p>
        </w:tc>
      </w:tr>
      <w:tr w:rsidR="004839CD" w:rsidRPr="00A236C5" w14:paraId="13ECC494" w14:textId="77777777" w:rsidTr="004839CD">
        <w:tc>
          <w:tcPr>
            <w:tcW w:w="392" w:type="pct"/>
            <w:shd w:val="clear" w:color="auto" w:fill="auto"/>
            <w:vAlign w:val="center"/>
          </w:tcPr>
          <w:p w14:paraId="13ECC48F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90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12/NQ-VIN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91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92" w14:textId="550FEA0D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plan of organizing meeting and the record date to exercise the right to attend the Annual </w:t>
            </w:r>
            <w:r w:rsidR="00C56A73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4839CD" w:rsidRPr="00A236C5" w14:paraId="13ECC49A" w14:textId="77777777" w:rsidTr="004839CD">
        <w:tc>
          <w:tcPr>
            <w:tcW w:w="392" w:type="pct"/>
            <w:shd w:val="clear" w:color="auto" w:fill="auto"/>
            <w:vAlign w:val="center"/>
          </w:tcPr>
          <w:p w14:paraId="13ECC495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4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9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9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06,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9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settlement of salary and remuneration fund to be implemented in 2022</w:t>
            </w:r>
          </w:p>
        </w:tc>
      </w:tr>
      <w:tr w:rsidR="004839CD" w:rsidRPr="00A236C5" w14:paraId="13ECC4A0" w14:textId="77777777" w:rsidTr="004839CD">
        <w:tc>
          <w:tcPr>
            <w:tcW w:w="392" w:type="pct"/>
            <w:shd w:val="clear" w:color="auto" w:fill="auto"/>
            <w:vAlign w:val="center"/>
          </w:tcPr>
          <w:p w14:paraId="13ECC49B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5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9C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34/QD-VIN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9D" w14:textId="0DDFAD4F" w:rsidR="004839CD" w:rsidRPr="00A236C5" w:rsidRDefault="002A2093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9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terminating the capital representation authorization of VINATRANS at Agility Limited and Lotte Vinatrans Global Logistics (Vietnam) Company Limited.</w:t>
            </w:r>
          </w:p>
        </w:tc>
      </w:tr>
      <w:tr w:rsidR="004839CD" w:rsidRPr="00A236C5" w14:paraId="13ECC4A6" w14:textId="77777777" w:rsidTr="004839CD">
        <w:tc>
          <w:tcPr>
            <w:tcW w:w="392" w:type="pct"/>
            <w:shd w:val="clear" w:color="auto" w:fill="auto"/>
            <w:vAlign w:val="center"/>
          </w:tcPr>
          <w:p w14:paraId="13ECC4A1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6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A2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35/QD-VIN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A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A4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authorizing to represent VINATRANS 's capital at Agility Limited. </w:t>
            </w:r>
          </w:p>
        </w:tc>
      </w:tr>
      <w:tr w:rsidR="004839CD" w:rsidRPr="00A236C5" w14:paraId="13ECC4AC" w14:textId="77777777" w:rsidTr="004839CD">
        <w:tc>
          <w:tcPr>
            <w:tcW w:w="392" w:type="pct"/>
            <w:shd w:val="clear" w:color="auto" w:fill="auto"/>
            <w:vAlign w:val="center"/>
          </w:tcPr>
          <w:p w14:paraId="13ECC4A7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7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A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36/QD-VIN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A9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A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authorizing to represent VINATRANS 's capital at Lotte Vinatrans Global Logistics (Vietnam) Company Limited.</w:t>
            </w:r>
          </w:p>
        </w:tc>
      </w:tr>
      <w:tr w:rsidR="004839CD" w:rsidRPr="00A236C5" w14:paraId="13ECC4B2" w14:textId="77777777" w:rsidTr="004839CD">
        <w:tc>
          <w:tcPr>
            <w:tcW w:w="392" w:type="pct"/>
            <w:shd w:val="clear" w:color="auto" w:fill="auto"/>
            <w:vAlign w:val="center"/>
          </w:tcPr>
          <w:p w14:paraId="13ECC4AD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lastRenderedPageBreak/>
              <w:t xml:space="preserve">8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A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47/QD-VIN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A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02,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B0" w14:textId="40A6A083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establishing the Shareholder's Eligibility Verification Committee for the shareholders attending the Annual </w:t>
            </w:r>
            <w:r w:rsidR="00C56A73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4839CD" w:rsidRPr="00A236C5" w14:paraId="13ECC4B8" w14:textId="77777777" w:rsidTr="004839CD">
        <w:tc>
          <w:tcPr>
            <w:tcW w:w="392" w:type="pct"/>
            <w:shd w:val="clear" w:color="auto" w:fill="auto"/>
            <w:vAlign w:val="center"/>
          </w:tcPr>
          <w:p w14:paraId="13ECC4B3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9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B4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51/NQ-VIN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B5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B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electing the Company’s Chair of the Board of Directors for the 2020-2025 period.</w:t>
            </w:r>
          </w:p>
        </w:tc>
      </w:tr>
      <w:tr w:rsidR="004839CD" w:rsidRPr="00A236C5" w14:paraId="13ECC4BE" w14:textId="77777777" w:rsidTr="004839CD">
        <w:tc>
          <w:tcPr>
            <w:tcW w:w="392" w:type="pct"/>
            <w:shd w:val="clear" w:color="auto" w:fill="auto"/>
            <w:vAlign w:val="center"/>
          </w:tcPr>
          <w:p w14:paraId="13ECC4B9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10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B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BB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BC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deduction of reward fund and welfare fund in 2023.</w:t>
            </w:r>
          </w:p>
        </w:tc>
      </w:tr>
      <w:tr w:rsidR="004839CD" w:rsidRPr="00A236C5" w14:paraId="13ECC4C4" w14:textId="77777777" w:rsidTr="004839CD">
        <w:tc>
          <w:tcPr>
            <w:tcW w:w="392" w:type="pct"/>
            <w:shd w:val="clear" w:color="auto" w:fill="auto"/>
            <w:vAlign w:val="center"/>
          </w:tcPr>
          <w:p w14:paraId="13ECC4BF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11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C0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80/QD-VIN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C1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07,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C2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authorizing to represent VINATRANS 's capital at Agility Limited.</w:t>
            </w:r>
          </w:p>
        </w:tc>
      </w:tr>
      <w:tr w:rsidR="004839CD" w:rsidRPr="00A236C5" w14:paraId="13ECC4CA" w14:textId="77777777" w:rsidTr="004839CD">
        <w:tc>
          <w:tcPr>
            <w:tcW w:w="392" w:type="pct"/>
            <w:shd w:val="clear" w:color="auto" w:fill="auto"/>
            <w:vAlign w:val="center"/>
          </w:tcPr>
          <w:p w14:paraId="13ECC4C5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12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C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88/QD-VIN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C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C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authorizing to represent VINATRANS 's capital at The Van Cargoes And Foreign Trade Logistics Joint Stock Company.</w:t>
            </w:r>
          </w:p>
        </w:tc>
      </w:tr>
      <w:tr w:rsidR="004839CD" w:rsidRPr="00A236C5" w14:paraId="13ECC4D0" w14:textId="77777777" w:rsidTr="004839CD">
        <w:tc>
          <w:tcPr>
            <w:tcW w:w="392" w:type="pct"/>
            <w:shd w:val="clear" w:color="auto" w:fill="auto"/>
            <w:vAlign w:val="center"/>
          </w:tcPr>
          <w:p w14:paraId="13ECC4CB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13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CC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90/QD-VIN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CD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C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dismissing the Person in charge of corporate governance</w:t>
            </w:r>
          </w:p>
        </w:tc>
      </w:tr>
      <w:tr w:rsidR="004839CD" w:rsidRPr="00A236C5" w14:paraId="13ECC4D6" w14:textId="77777777" w:rsidTr="004839CD">
        <w:tc>
          <w:tcPr>
            <w:tcW w:w="392" w:type="pct"/>
            <w:shd w:val="clear" w:color="auto" w:fill="auto"/>
            <w:vAlign w:val="center"/>
          </w:tcPr>
          <w:p w14:paraId="13ECC4D1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14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D2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91/QD-VIN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D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D4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concurrently holding the position of Person in charge of Corporate governance and Company Secretary.</w:t>
            </w:r>
          </w:p>
        </w:tc>
      </w:tr>
      <w:tr w:rsidR="004839CD" w:rsidRPr="00A236C5" w14:paraId="13ECC4DC" w14:textId="77777777" w:rsidTr="004839CD">
        <w:tc>
          <w:tcPr>
            <w:tcW w:w="392" w:type="pct"/>
            <w:shd w:val="clear" w:color="auto" w:fill="auto"/>
            <w:vAlign w:val="center"/>
          </w:tcPr>
          <w:p w14:paraId="13ECC4D7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15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D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93/NQ-VIN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D9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DA" w14:textId="78497B9E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assessing the opera</w:t>
            </w:r>
            <w:r w:rsidR="00C56A73">
              <w:rPr>
                <w:rFonts w:ascii="Arial" w:hAnsi="Arial"/>
                <w:color w:val="010000"/>
                <w:sz w:val="20"/>
              </w:rPr>
              <w:t xml:space="preserve">ting results of Q1/2023 and </w:t>
            </w:r>
            <w:r>
              <w:rPr>
                <w:rFonts w:ascii="Arial" w:hAnsi="Arial"/>
                <w:color w:val="010000"/>
                <w:sz w:val="20"/>
              </w:rPr>
              <w:t>key plan for Q2/2023</w:t>
            </w:r>
          </w:p>
        </w:tc>
      </w:tr>
      <w:tr w:rsidR="004839CD" w:rsidRPr="00A236C5" w14:paraId="13ECC4E2" w14:textId="77777777" w:rsidTr="004839CD">
        <w:tc>
          <w:tcPr>
            <w:tcW w:w="392" w:type="pct"/>
            <w:shd w:val="clear" w:color="auto" w:fill="auto"/>
            <w:vAlign w:val="center"/>
          </w:tcPr>
          <w:p w14:paraId="13ECC4DD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16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D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D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E0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terminating the authorization of capital representation of VINATRANS at Vina Vinatrans Trucking Company Limited</w:t>
            </w:r>
          </w:p>
        </w:tc>
      </w:tr>
      <w:tr w:rsidR="004839CD" w:rsidRPr="00A236C5" w14:paraId="13ECC4E8" w14:textId="77777777" w:rsidTr="004839CD">
        <w:tc>
          <w:tcPr>
            <w:tcW w:w="392" w:type="pct"/>
            <w:shd w:val="clear" w:color="auto" w:fill="auto"/>
            <w:vAlign w:val="center"/>
          </w:tcPr>
          <w:p w14:paraId="13ECC4E3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17 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ECC4E4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105/QD-VIN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CC4E5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2023</w:t>
            </w:r>
          </w:p>
        </w:tc>
        <w:tc>
          <w:tcPr>
            <w:tcW w:w="2916" w:type="pct"/>
            <w:shd w:val="clear" w:color="auto" w:fill="auto"/>
            <w:vAlign w:val="center"/>
          </w:tcPr>
          <w:p w14:paraId="13ECC4E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authorizing to represent the capital of the Vinatrans at Vina Vinatrans Trucking Company Limited</w:t>
            </w:r>
          </w:p>
        </w:tc>
      </w:tr>
      <w:tr w:rsidR="004839CD" w:rsidRPr="00A236C5" w14:paraId="15E4EC8E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6E03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18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5B6E" w14:textId="2C8705AF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BD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1FD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spending fund to reward the Business Manager in 2022. </w:t>
            </w:r>
          </w:p>
        </w:tc>
      </w:tr>
      <w:tr w:rsidR="004839CD" w:rsidRPr="00A236C5" w14:paraId="4F3D33FE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CEAB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19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29B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119/NQ-VIN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3F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FEC9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2022 dividend payment</w:t>
            </w:r>
          </w:p>
        </w:tc>
      </w:tr>
      <w:tr w:rsidR="004839CD" w:rsidRPr="00A236C5" w14:paraId="46D4DCC8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8258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20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597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134/QD-VIN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E87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05,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27C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labor and salary plan in 2023.</w:t>
            </w:r>
          </w:p>
        </w:tc>
      </w:tr>
      <w:tr w:rsidR="004839CD" w:rsidRPr="00A236C5" w14:paraId="5DC226A9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C16A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21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AC4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145/QD-VIN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036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43DC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policy of liquidating fixed assets.</w:t>
            </w:r>
          </w:p>
        </w:tc>
      </w:tr>
      <w:tr w:rsidR="004839CD" w:rsidRPr="00A236C5" w14:paraId="7AAEDDE9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1621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lastRenderedPageBreak/>
              <w:t xml:space="preserve">22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F00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147/QD-VIN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99C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5C8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selecting an audit company to review and audit the Financial Statements in 2023</w:t>
            </w:r>
          </w:p>
        </w:tc>
      </w:tr>
      <w:tr w:rsidR="004839CD" w:rsidRPr="00A236C5" w14:paraId="36921CED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290F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23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F033" w14:textId="252AC44D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C6D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138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Vinatrans 's Regulations on Information Disclosure.</w:t>
            </w:r>
          </w:p>
        </w:tc>
      </w:tr>
      <w:tr w:rsidR="004839CD" w:rsidRPr="00A236C5" w14:paraId="65415EF8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85BE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24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951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164/QD-VIN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06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E1E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strengthening the Emulation, Commendation and Discipline Council of VINATRANS. </w:t>
            </w:r>
          </w:p>
        </w:tc>
      </w:tr>
      <w:tr w:rsidR="004839CD" w:rsidRPr="00A236C5" w14:paraId="7AE04B9B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4582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25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57E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165/QD-VIN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44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07,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0FE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strengthening the Salary Council of VINATRANS. </w:t>
            </w:r>
          </w:p>
        </w:tc>
      </w:tr>
      <w:tr w:rsidR="004839CD" w:rsidRPr="00A236C5" w14:paraId="73FD45BB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78D7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26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899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167/QD-VIN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B275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F51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promulgating the Regulations on the salary scale and payroll system of VINATRANS. </w:t>
            </w:r>
          </w:p>
        </w:tc>
      </w:tr>
      <w:tr w:rsidR="004839CD" w:rsidRPr="00A236C5" w14:paraId="48E95D29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C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27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A8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174/QD-VIN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DE05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675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changing salary of the Company's Executive Board (Ms. Le Hoang Nhu Uyen)</w:t>
            </w:r>
          </w:p>
        </w:tc>
      </w:tr>
      <w:tr w:rsidR="004839CD" w:rsidRPr="00A236C5" w14:paraId="04C29185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C9D5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28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559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176/QD-VIN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C06C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C7F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changing salary of the Company's Executive Board (Mr. Do Bao Trong)</w:t>
            </w:r>
          </w:p>
        </w:tc>
      </w:tr>
      <w:tr w:rsidR="004839CD" w:rsidRPr="00A236C5" w14:paraId="17C0D8C9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3F6F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29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4DE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177/QD-VIN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DAD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23F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changing salary of the Company's Executive Board (Mr. Nguyen Thanh Tong)</w:t>
            </w:r>
          </w:p>
        </w:tc>
      </w:tr>
      <w:tr w:rsidR="004839CD" w:rsidRPr="00A236C5" w14:paraId="50849856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671E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30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CA69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193/QD-VIN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FD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958A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tasks to members of the Board of Directors.</w:t>
            </w:r>
          </w:p>
        </w:tc>
      </w:tr>
      <w:tr w:rsidR="004839CD" w:rsidRPr="00A236C5" w14:paraId="1DD33A4C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06D8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31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39A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194/QD-VIN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8374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AD10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strengthening the Steering Committee for restructuring investment capital of VINATRANS in enterprises.</w:t>
            </w:r>
          </w:p>
        </w:tc>
      </w:tr>
      <w:tr w:rsidR="004839CD" w:rsidRPr="00A236C5" w14:paraId="23C1C49B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3646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32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EBE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195/QD-VIN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D9E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CB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strengthening the Implementation Committee of VINATRANS' investment capital restructuring project at enterprises.</w:t>
            </w:r>
          </w:p>
        </w:tc>
      </w:tr>
      <w:tr w:rsidR="004839CD" w:rsidRPr="00A236C5" w14:paraId="3DD60817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5E7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33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695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197/NQ-VIN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38AD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04,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27A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assessing the operating results of Q2/2023 and the key plan for Q3/2023</w:t>
            </w:r>
          </w:p>
        </w:tc>
      </w:tr>
      <w:tr w:rsidR="004839CD" w:rsidRPr="00A236C5" w14:paraId="3EFA1A1E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37F1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34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D5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227/QD-VIN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20A9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AB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promulgating the Financial Management Regulations of VINATRANS. </w:t>
            </w:r>
          </w:p>
        </w:tc>
      </w:tr>
      <w:tr w:rsidR="004839CD" w:rsidRPr="00A236C5" w14:paraId="7EB3E50B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D06F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35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C82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229/QD-VIN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B3F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26,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8B5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structure of term deposits at Credit Institutions.</w:t>
            </w:r>
          </w:p>
        </w:tc>
      </w:tr>
      <w:tr w:rsidR="004839CD" w:rsidRPr="00A236C5" w14:paraId="4B97CBA6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C72A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36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6CF3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245/QD-VIN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862F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61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appointing cadres to attend the seminar.</w:t>
            </w:r>
          </w:p>
        </w:tc>
      </w:tr>
      <w:tr w:rsidR="004839CD" w:rsidRPr="00A236C5" w14:paraId="5592EB8B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6C7C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lastRenderedPageBreak/>
              <w:t xml:space="preserve">37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87F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266/NQ-VIN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146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07,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8F0D" w14:textId="5CF8FF13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assessing the opera</w:t>
            </w:r>
            <w:r w:rsidR="00C56A73">
              <w:rPr>
                <w:rFonts w:ascii="Arial" w:hAnsi="Arial"/>
                <w:color w:val="010000"/>
                <w:sz w:val="20"/>
              </w:rPr>
              <w:t xml:space="preserve">ting results of Q3/2023 and </w:t>
            </w:r>
            <w:r>
              <w:rPr>
                <w:rFonts w:ascii="Arial" w:hAnsi="Arial"/>
                <w:color w:val="010000"/>
                <w:sz w:val="20"/>
              </w:rPr>
              <w:t>key plan for Q4/2023</w:t>
            </w:r>
          </w:p>
        </w:tc>
      </w:tr>
      <w:tr w:rsidR="004839CD" w:rsidRPr="00A236C5" w14:paraId="7513B2AF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1D39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38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27E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291/QD-VIN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3438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ED2D" w14:textId="5DC56255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promulgating Regulations on management and evaluation of Representatives of VINATRANS </w:t>
            </w:r>
          </w:p>
        </w:tc>
      </w:tr>
      <w:tr w:rsidR="004839CD" w:rsidRPr="00A236C5" w14:paraId="03EC18FB" w14:textId="77777777" w:rsidTr="004839C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CD87" w14:textId="77777777" w:rsidR="004839CD" w:rsidRPr="002A2093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A2093">
              <w:rPr>
                <w:rFonts w:ascii="Arial" w:hAnsi="Arial"/>
                <w:color w:val="010000"/>
                <w:sz w:val="20"/>
              </w:rPr>
              <w:t xml:space="preserve">39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6187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293/QD-VIN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3556" w14:textId="77777777" w:rsidR="004839CD" w:rsidRPr="00A236C5" w:rsidRDefault="004839C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EE0C" w14:textId="5E296197" w:rsidR="004839CD" w:rsidRPr="00A236C5" w:rsidRDefault="004839CD" w:rsidP="00C56A73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</w:t>
            </w:r>
            <w:r w:rsidR="00C56A73">
              <w:rPr>
                <w:rFonts w:ascii="Arial" w:hAnsi="Arial"/>
                <w:color w:val="010000"/>
                <w:sz w:val="20"/>
              </w:rPr>
              <w:t xml:space="preserve">cision on the initiative bonus 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</w:tbl>
    <w:p w14:paraId="730ED359" w14:textId="75E18975" w:rsidR="004566FE" w:rsidRPr="00A236C5" w:rsidRDefault="003A0E6D" w:rsidP="0046703E">
      <w:pPr>
        <w:pStyle w:val="Chthchb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Supervisory Board in 2023:</w:t>
      </w:r>
    </w:p>
    <w:p w14:paraId="13ECC571" w14:textId="6830EFF6" w:rsidR="00EF14BE" w:rsidRPr="00A236C5" w:rsidRDefault="003A0E6D" w:rsidP="0046703E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Information about the members of the Supervisory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168"/>
        <w:gridCol w:w="2731"/>
        <w:gridCol w:w="4263"/>
        <w:gridCol w:w="1702"/>
      </w:tblGrid>
      <w:tr w:rsidR="0015628D" w:rsidRPr="00A236C5" w14:paraId="13ECC577" w14:textId="77777777" w:rsidTr="0015628D">
        <w:tc>
          <w:tcPr>
            <w:tcW w:w="389" w:type="pct"/>
            <w:shd w:val="clear" w:color="auto" w:fill="auto"/>
            <w:vAlign w:val="center"/>
          </w:tcPr>
          <w:p w14:paraId="13ECC572" w14:textId="081AFAA5" w:rsidR="00EF14BE" w:rsidRPr="00A236C5" w:rsidRDefault="00BB479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3ECC573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Board: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3ECC574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13ECC575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3ECC576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15628D" w:rsidRPr="00A236C5" w14:paraId="13ECC57D" w14:textId="77777777" w:rsidTr="0015628D">
        <w:tc>
          <w:tcPr>
            <w:tcW w:w="389" w:type="pct"/>
            <w:shd w:val="clear" w:color="auto" w:fill="auto"/>
            <w:vAlign w:val="center"/>
          </w:tcPr>
          <w:p w14:paraId="13ECC578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3ECC579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Thanh Binh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3ECC57A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 the Supervisory Board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13ECC57B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3ECC57C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15628D" w:rsidRPr="00A236C5" w14:paraId="13ECC583" w14:textId="77777777" w:rsidTr="0015628D">
        <w:tc>
          <w:tcPr>
            <w:tcW w:w="389" w:type="pct"/>
            <w:shd w:val="clear" w:color="auto" w:fill="auto"/>
            <w:vAlign w:val="center"/>
          </w:tcPr>
          <w:p w14:paraId="13ECC57E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3ECC57F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Binh Nguyen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3ECC580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Board: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13ECC581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3ECC582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</w:tr>
      <w:tr w:rsidR="0015628D" w:rsidRPr="00A236C5" w14:paraId="13ECC589" w14:textId="77777777" w:rsidTr="0015628D">
        <w:tc>
          <w:tcPr>
            <w:tcW w:w="389" w:type="pct"/>
            <w:shd w:val="clear" w:color="auto" w:fill="auto"/>
            <w:vAlign w:val="center"/>
          </w:tcPr>
          <w:p w14:paraId="13ECC584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3ECC585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Van Thi Thu Huong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3ECC586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13ECC587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June 27, 2020 to December 10, 2023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3ECC588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15628D" w:rsidRPr="00A236C5" w14:paraId="13ECC58F" w14:textId="77777777" w:rsidTr="0015628D">
        <w:tc>
          <w:tcPr>
            <w:tcW w:w="389" w:type="pct"/>
            <w:shd w:val="clear" w:color="auto" w:fill="auto"/>
            <w:vAlign w:val="center"/>
          </w:tcPr>
          <w:p w14:paraId="13ECC58A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4 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13ECC58B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Ha Phuong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3ECC58C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13ECC58D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3ECC58E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13ECC5C3" w14:textId="249AA7F3" w:rsidR="00EF14BE" w:rsidRPr="00A236C5" w:rsidRDefault="003A0E6D" w:rsidP="0046703E">
      <w:pPr>
        <w:pStyle w:val="Chthchb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Executive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4059"/>
        <w:gridCol w:w="2201"/>
        <w:gridCol w:w="3331"/>
        <w:gridCol w:w="3454"/>
      </w:tblGrid>
      <w:tr w:rsidR="0015628D" w:rsidRPr="00A236C5" w14:paraId="13ECC5C9" w14:textId="77777777" w:rsidTr="0015628D">
        <w:tc>
          <w:tcPr>
            <w:tcW w:w="324" w:type="pct"/>
            <w:shd w:val="clear" w:color="auto" w:fill="auto"/>
            <w:vAlign w:val="center"/>
          </w:tcPr>
          <w:p w14:paraId="13ECC5C4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55" w:type="pct"/>
            <w:shd w:val="clear" w:color="auto" w:fill="auto"/>
            <w:vAlign w:val="center"/>
          </w:tcPr>
          <w:p w14:paraId="13ECC5C5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3ECC5C6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3ECC5C7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13ECC5C8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15628D" w:rsidRPr="00A236C5" w14:paraId="13ECC5CF" w14:textId="77777777" w:rsidTr="0015628D">
        <w:tc>
          <w:tcPr>
            <w:tcW w:w="324" w:type="pct"/>
            <w:shd w:val="clear" w:color="auto" w:fill="auto"/>
            <w:vAlign w:val="center"/>
          </w:tcPr>
          <w:p w14:paraId="13ECC5CA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1455" w:type="pct"/>
            <w:shd w:val="clear" w:color="auto" w:fill="auto"/>
            <w:vAlign w:val="center"/>
          </w:tcPr>
          <w:p w14:paraId="13ECC5CB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Hoang Nhu Uyen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3ECC5CC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1973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3ECC5CD" w14:textId="2F0383EF" w:rsidR="00EF14BE" w:rsidRPr="00A236C5" w:rsidRDefault="00C56A73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0E6D">
              <w:rPr>
                <w:rFonts w:ascii="Arial" w:hAnsi="Arial"/>
                <w:color w:val="010000"/>
                <w:sz w:val="20"/>
              </w:rPr>
              <w:t xml:space="preserve"> Economics majoring in Foreign Economic Relations,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Bachelor in</w:t>
            </w:r>
            <w:r w:rsidR="003A0E6D">
              <w:rPr>
                <w:rFonts w:ascii="Arial" w:hAnsi="Arial"/>
                <w:color w:val="010000"/>
                <w:sz w:val="20"/>
              </w:rPr>
              <w:t xml:space="preserve"> Science majoring in the English language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13ECC5CE" w14:textId="759656BC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Appointed on February 26, 2021</w:t>
            </w:r>
          </w:p>
        </w:tc>
      </w:tr>
      <w:tr w:rsidR="0015628D" w:rsidRPr="00A236C5" w14:paraId="13ECC5D5" w14:textId="77777777" w:rsidTr="0015628D">
        <w:tc>
          <w:tcPr>
            <w:tcW w:w="324" w:type="pct"/>
            <w:shd w:val="clear" w:color="auto" w:fill="auto"/>
            <w:vAlign w:val="center"/>
          </w:tcPr>
          <w:p w14:paraId="13ECC5D0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lastRenderedPageBreak/>
              <w:t xml:space="preserve">2 </w:t>
            </w:r>
          </w:p>
        </w:tc>
        <w:tc>
          <w:tcPr>
            <w:tcW w:w="1455" w:type="pct"/>
            <w:shd w:val="clear" w:color="auto" w:fill="auto"/>
            <w:vAlign w:val="center"/>
          </w:tcPr>
          <w:p w14:paraId="13ECC5D1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Thanh Tong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3ECC5D2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27, 1979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3ECC5D3" w14:textId="709D8A0D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Marine Engineer, </w:t>
            </w:r>
            <w:r w:rsidR="00C56A73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13ECC5D4" w14:textId="238A6315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Appointed on January 22, 2021 </w:t>
            </w:r>
          </w:p>
        </w:tc>
      </w:tr>
      <w:tr w:rsidR="0015628D" w:rsidRPr="00A236C5" w14:paraId="13ECC5DB" w14:textId="77777777" w:rsidTr="0015628D">
        <w:tc>
          <w:tcPr>
            <w:tcW w:w="324" w:type="pct"/>
            <w:shd w:val="clear" w:color="auto" w:fill="auto"/>
            <w:vAlign w:val="center"/>
          </w:tcPr>
          <w:p w14:paraId="13ECC5D6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1455" w:type="pct"/>
            <w:shd w:val="clear" w:color="auto" w:fill="auto"/>
            <w:vAlign w:val="center"/>
          </w:tcPr>
          <w:p w14:paraId="13ECC5D7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Bao Trong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3ECC5D8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26, 1977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3ECC5D9" w14:textId="57A4DF46" w:rsidR="00EF14BE" w:rsidRPr="00A236C5" w:rsidRDefault="00C56A73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0E6D">
              <w:rPr>
                <w:rFonts w:ascii="Arial" w:hAnsi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13ECC5DA" w14:textId="0F07EEFA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Appointed on May 31, 2021 </w:t>
            </w:r>
          </w:p>
        </w:tc>
      </w:tr>
    </w:tbl>
    <w:p w14:paraId="13ECC5E1" w14:textId="34188A85" w:rsidR="00EF14BE" w:rsidRPr="00A236C5" w:rsidRDefault="003A0E6D" w:rsidP="0046703E">
      <w:pPr>
        <w:pStyle w:val="Tiu20"/>
        <w:keepNext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Chief Accountant.</w:t>
      </w:r>
    </w:p>
    <w:p w14:paraId="13ECC5E2" w14:textId="7E94EAE8" w:rsidR="00EF14BE" w:rsidRPr="00A236C5" w:rsidRDefault="003A0E6D" w:rsidP="00C56A73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Ms. Ninh Kim Thoa, Deputy Head of the Financial Accounting Department, was appointed by the </w:t>
      </w:r>
      <w:r w:rsidR="00C56A73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to hold the position of Head of the Company's Financial Accounting Department, effective from May 24, 2023.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1"/>
        <w:gridCol w:w="2514"/>
        <w:gridCol w:w="3794"/>
        <w:gridCol w:w="4260"/>
      </w:tblGrid>
      <w:tr w:rsidR="00C76425" w:rsidRPr="00A236C5" w14:paraId="13ECC5E7" w14:textId="77777777" w:rsidTr="0015628D">
        <w:tc>
          <w:tcPr>
            <w:tcW w:w="1212" w:type="pct"/>
            <w:shd w:val="clear" w:color="auto" w:fill="auto"/>
            <w:vAlign w:val="center"/>
          </w:tcPr>
          <w:p w14:paraId="13ECC5E3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3ECC5E4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13ECC5E5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3ECC5E6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C76425" w:rsidRPr="00A236C5" w14:paraId="13ECC5ED" w14:textId="77777777" w:rsidTr="0015628D">
        <w:tc>
          <w:tcPr>
            <w:tcW w:w="1212" w:type="pct"/>
            <w:shd w:val="clear" w:color="auto" w:fill="auto"/>
            <w:vAlign w:val="center"/>
          </w:tcPr>
          <w:p w14:paraId="13ECC5E8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Ninh Kim Thoa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3ECC5E9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1980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13ECC5EA" w14:textId="577D0D9A" w:rsidR="00EF14BE" w:rsidRPr="00A236C5" w:rsidRDefault="00C56A73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0E6D">
              <w:rPr>
                <w:rFonts w:ascii="Arial" w:hAnsi="Arial"/>
                <w:color w:val="010000"/>
                <w:sz w:val="20"/>
              </w:rPr>
              <w:t xml:space="preserve"> Economics majoring in Accounting - Auditing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3ECC5EB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2023</w:t>
            </w:r>
          </w:p>
          <w:p w14:paraId="13ECC5EC" w14:textId="599FC4BE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Position: Head of Financial Accounting Department</w:t>
            </w:r>
          </w:p>
        </w:tc>
      </w:tr>
    </w:tbl>
    <w:p w14:paraId="13ECC5EF" w14:textId="77777777" w:rsidR="00EF14BE" w:rsidRPr="00A236C5" w:rsidRDefault="003A0E6D" w:rsidP="00C56A73">
      <w:pPr>
        <w:pStyle w:val="Tiu20"/>
        <w:keepNext/>
        <w:numPr>
          <w:ilvl w:val="0"/>
          <w:numId w:val="10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Training on corporate governance:</w:t>
      </w:r>
    </w:p>
    <w:p w14:paraId="13ECC5F2" w14:textId="01F9792E" w:rsidR="00EF14BE" w:rsidRPr="00A236C5" w:rsidRDefault="003A0E6D" w:rsidP="00C56A73">
      <w:pPr>
        <w:pStyle w:val="Vnbnnidung0"/>
        <w:numPr>
          <w:ilvl w:val="0"/>
          <w:numId w:val="10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C56A73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(report of 2023) and transactions between the </w:t>
      </w:r>
      <w:r w:rsidR="00C56A73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Corporation itself</w:t>
      </w:r>
    </w:p>
    <w:p w14:paraId="13ECC5F5" w14:textId="6C3E5075" w:rsidR="00EF14BE" w:rsidRPr="00AD0210" w:rsidRDefault="003A0E6D" w:rsidP="00C56A73">
      <w:pPr>
        <w:pStyle w:val="Tiu20"/>
        <w:keepNext/>
        <w:numPr>
          <w:ilvl w:val="0"/>
          <w:numId w:val="5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Transactions between the Company and </w:t>
      </w:r>
      <w:r w:rsidR="00C56A73">
        <w:rPr>
          <w:rFonts w:ascii="Arial" w:hAnsi="Arial"/>
          <w:b w:val="0"/>
          <w:color w:val="010000"/>
          <w:sz w:val="20"/>
        </w:rPr>
        <w:t>related</w:t>
      </w:r>
      <w:r>
        <w:rPr>
          <w:rFonts w:ascii="Arial" w:hAnsi="Arial"/>
          <w:b w:val="0"/>
          <w:color w:val="010000"/>
          <w:sz w:val="20"/>
        </w:rPr>
        <w:t xml:space="preserve"> persons of the Company; or between the Company and </w:t>
      </w:r>
      <w:r w:rsidR="00C56A73">
        <w:rPr>
          <w:rFonts w:ascii="Arial" w:hAnsi="Arial"/>
          <w:b w:val="0"/>
          <w:color w:val="010000"/>
          <w:sz w:val="20"/>
        </w:rPr>
        <w:t xml:space="preserve">principal </w:t>
      </w:r>
      <w:r>
        <w:rPr>
          <w:rFonts w:ascii="Arial" w:hAnsi="Arial"/>
          <w:b w:val="0"/>
          <w:color w:val="010000"/>
          <w:sz w:val="20"/>
        </w:rPr>
        <w:t xml:space="preserve">shareholders, PDMR and </w:t>
      </w:r>
      <w:r w:rsidR="00C56A73">
        <w:rPr>
          <w:rFonts w:ascii="Arial" w:hAnsi="Arial"/>
          <w:b w:val="0"/>
          <w:color w:val="010000"/>
          <w:sz w:val="20"/>
        </w:rPr>
        <w:t>related</w:t>
      </w:r>
      <w:r>
        <w:rPr>
          <w:rFonts w:ascii="Arial" w:hAnsi="Arial"/>
          <w:b w:val="0"/>
          <w:color w:val="010000"/>
          <w:sz w:val="20"/>
        </w:rPr>
        <w:t xml:space="preserve"> persons of PDMR</w:t>
      </w:r>
    </w:p>
    <w:p w14:paraId="62A2A4D0" w14:textId="77777777" w:rsidR="00AD0210" w:rsidRPr="00AD0210" w:rsidRDefault="00AD0210" w:rsidP="00AD0210">
      <w:pPr>
        <w:pStyle w:val="Chthchbng0"/>
        <w:tabs>
          <w:tab w:val="left" w:pos="360"/>
        </w:tabs>
        <w:spacing w:after="120" w:line="360" w:lineRule="auto"/>
        <w:jc w:val="right"/>
        <w:rPr>
          <w:rFonts w:ascii="Arial" w:hAnsi="Arial" w:cs="Arial"/>
          <w:b w:val="0"/>
          <w:color w:val="010000"/>
          <w:sz w:val="20"/>
          <w:szCs w:val="24"/>
        </w:rPr>
      </w:pPr>
      <w:r w:rsidRPr="00AD0210">
        <w:rPr>
          <w:rFonts w:ascii="Arial" w:hAnsi="Arial"/>
          <w:b w:val="0"/>
          <w:color w:val="010000"/>
          <w:sz w:val="20"/>
        </w:rPr>
        <w:t>Unit: VND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150"/>
        <w:gridCol w:w="1143"/>
        <w:gridCol w:w="1212"/>
        <w:gridCol w:w="1621"/>
        <w:gridCol w:w="1121"/>
        <w:gridCol w:w="2340"/>
        <w:gridCol w:w="3267"/>
        <w:gridCol w:w="499"/>
      </w:tblGrid>
      <w:tr w:rsidR="00AD0210" w:rsidRPr="00AD0210" w14:paraId="5C312E69" w14:textId="77777777" w:rsidTr="00D422B4">
        <w:tc>
          <w:tcPr>
            <w:tcW w:w="225" w:type="pct"/>
            <w:shd w:val="clear" w:color="auto" w:fill="auto"/>
            <w:vAlign w:val="center"/>
          </w:tcPr>
          <w:p w14:paraId="14999881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No.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37C57A4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Name of organization/individual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43B130F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Relations with the Company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956F02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NSH* No., date of issue, place of issue 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748E45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Headquarters address/Contact address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26D7A7C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Time of transaction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D00B199" w14:textId="6DACCD50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Approved General Mandate/Decision No. of the </w:t>
            </w:r>
            <w:r w:rsidR="00C56A73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 and Board </w:t>
            </w: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Resolutions/Decisions (including promulgation date if any) 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EAA308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Contents quantity, total value of transaction 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143490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Note</w:t>
            </w:r>
          </w:p>
        </w:tc>
      </w:tr>
      <w:tr w:rsidR="00AD0210" w:rsidRPr="00AD0210" w14:paraId="75B5037E" w14:textId="77777777" w:rsidTr="00D422B4">
        <w:tc>
          <w:tcPr>
            <w:tcW w:w="225" w:type="pct"/>
            <w:shd w:val="clear" w:color="auto" w:fill="auto"/>
            <w:vAlign w:val="center"/>
          </w:tcPr>
          <w:p w14:paraId="65CE5187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1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71AA1A7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Vina Vinatrans Trucking Company Limited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3B855F1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Subsidiary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1C5C2F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AD52AFD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EDEFAAA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B42FB8F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3B998CF" w14:textId="77777777" w:rsidR="00AD0210" w:rsidRPr="00AD0210" w:rsidRDefault="00AD0210" w:rsidP="00AD0210">
            <w:pPr>
              <w:pStyle w:val="Khc0"/>
              <w:numPr>
                <w:ilvl w:val="0"/>
                <w:numId w:val="6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office utility fee: VND 180,465,000</w:t>
            </w:r>
          </w:p>
          <w:p w14:paraId="0227FA6B" w14:textId="77777777" w:rsidR="00AD0210" w:rsidRPr="00AD0210" w:rsidRDefault="00AD0210" w:rsidP="00AD0210">
            <w:pPr>
              <w:pStyle w:val="Khc0"/>
              <w:numPr>
                <w:ilvl w:val="0"/>
                <w:numId w:val="6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Transportation cost: VND 19,354,807,500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2BE9DB5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1A3F3B35" w14:textId="77777777" w:rsidTr="00D422B4">
        <w:tc>
          <w:tcPr>
            <w:tcW w:w="225" w:type="pct"/>
            <w:shd w:val="clear" w:color="auto" w:fill="auto"/>
            <w:vAlign w:val="center"/>
          </w:tcPr>
          <w:p w14:paraId="3C53E858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053D4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Nissin Logistics (VN) Company Limited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60CA74F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Joint venture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E7B455D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A20B515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53CFDE97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89B195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1286B03" w14:textId="77777777" w:rsidR="00AD0210" w:rsidRPr="00AD0210" w:rsidRDefault="00AD0210" w:rsidP="00AD0210">
            <w:pPr>
              <w:pStyle w:val="Khc0"/>
              <w:numPr>
                <w:ilvl w:val="0"/>
                <w:numId w:val="7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255,370,155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69E1959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3256DA2A" w14:textId="77777777" w:rsidTr="00D422B4">
        <w:tc>
          <w:tcPr>
            <w:tcW w:w="225" w:type="pct"/>
            <w:shd w:val="clear" w:color="auto" w:fill="auto"/>
            <w:vAlign w:val="center"/>
          </w:tcPr>
          <w:p w14:paraId="06CF2BDC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4D254F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Konoike Vinatrans Logistics Co., Ltd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4124A7E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Joint venture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CC0978A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3828C2F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248B513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A57771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8816BDF" w14:textId="77777777" w:rsidR="00AD0210" w:rsidRPr="00AD0210" w:rsidRDefault="00AD0210" w:rsidP="00AD0210">
            <w:pPr>
              <w:pStyle w:val="Khc0"/>
              <w:numPr>
                <w:ilvl w:val="0"/>
                <w:numId w:val="7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23,241,166,947</w:t>
            </w:r>
          </w:p>
          <w:p w14:paraId="18145023" w14:textId="77777777" w:rsidR="00AD0210" w:rsidRPr="00AD0210" w:rsidRDefault="00AD0210" w:rsidP="00AD0210">
            <w:pPr>
              <w:pStyle w:val="Khc0"/>
              <w:numPr>
                <w:ilvl w:val="0"/>
                <w:numId w:val="7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Transportation cost: VND 3,000,000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530795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4B846DA5" w14:textId="77777777" w:rsidTr="00D422B4">
        <w:tc>
          <w:tcPr>
            <w:tcW w:w="225" w:type="pct"/>
            <w:shd w:val="clear" w:color="auto" w:fill="auto"/>
            <w:vAlign w:val="center"/>
          </w:tcPr>
          <w:p w14:paraId="48FC3A7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4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F5C1D2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Branch of Konoike Vinatrans Logistics Co., Ltd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BD76245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Joint venture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0E1C9A1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1011A27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42551CF7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644FE8E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FE66AB9" w14:textId="77777777" w:rsidR="00AD0210" w:rsidRPr="00AD0210" w:rsidRDefault="00AD0210" w:rsidP="00AD0210">
            <w:pPr>
              <w:pStyle w:val="Khc0"/>
              <w:numPr>
                <w:ilvl w:val="0"/>
                <w:numId w:val="8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Transportation cost: VND 9,895,000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5990C95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6FDAADBE" w14:textId="77777777" w:rsidTr="00D422B4">
        <w:tc>
          <w:tcPr>
            <w:tcW w:w="225" w:type="pct"/>
            <w:shd w:val="clear" w:color="auto" w:fill="auto"/>
            <w:vAlign w:val="center"/>
          </w:tcPr>
          <w:p w14:paraId="326F31A7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5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ED09DE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Vinafreight Joint Stock Company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44740CC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Other investments: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8DB8D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3F8C4B4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99F1AD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7D6524C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420086C" w14:textId="77777777" w:rsidR="00AD0210" w:rsidRPr="00AD0210" w:rsidRDefault="00AD0210" w:rsidP="00AD0210">
            <w:pPr>
              <w:pStyle w:val="Khc0"/>
              <w:numPr>
                <w:ilvl w:val="0"/>
                <w:numId w:val="8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17,145,370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BEFF6C4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141EB76A" w14:textId="77777777" w:rsidTr="00D422B4">
        <w:tc>
          <w:tcPr>
            <w:tcW w:w="225" w:type="pct"/>
            <w:shd w:val="clear" w:color="auto" w:fill="auto"/>
            <w:vAlign w:val="center"/>
          </w:tcPr>
          <w:p w14:paraId="33484BA2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6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78A5832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Vinatrans Da Nang Joint Stock Company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16667E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Other investments: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0ACFEEF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7BCCD8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125581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0B105A1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Resolution No. 50/NQ-VIN dated March 10, </w:t>
            </w: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231CFD4" w14:textId="77777777" w:rsidR="00AD0210" w:rsidRPr="00AD0210" w:rsidRDefault="00AD0210" w:rsidP="00AD0210">
            <w:pPr>
              <w:pStyle w:val="Khc0"/>
              <w:numPr>
                <w:ilvl w:val="0"/>
                <w:numId w:val="8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>Revenue from freight and services: VND 909,074</w:t>
            </w:r>
          </w:p>
          <w:p w14:paraId="4BFE9F6D" w14:textId="77777777" w:rsidR="00AD0210" w:rsidRPr="00AD0210" w:rsidRDefault="00AD0210" w:rsidP="00AD0210">
            <w:pPr>
              <w:pStyle w:val="Khc0"/>
              <w:numPr>
                <w:ilvl w:val="0"/>
                <w:numId w:val="8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>Transportation cost: VND 6,880,119,751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37074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3ABA4C8F" w14:textId="77777777" w:rsidTr="00D422B4">
        <w:tc>
          <w:tcPr>
            <w:tcW w:w="225" w:type="pct"/>
            <w:shd w:val="clear" w:color="auto" w:fill="auto"/>
            <w:vAlign w:val="center"/>
          </w:tcPr>
          <w:p w14:paraId="796F0CB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7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47A398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Branch of Vector International Aviation Service Company Limited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B5BD343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Other investments: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C4916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C0ACAA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50D1EE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367E454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3AF44E1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Services fees: VND 32,000000,000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5F247D4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6D2EA542" w14:textId="77777777" w:rsidTr="00D422B4">
        <w:tc>
          <w:tcPr>
            <w:tcW w:w="225" w:type="pct"/>
            <w:shd w:val="clear" w:color="auto" w:fill="auto"/>
            <w:vAlign w:val="center"/>
          </w:tcPr>
          <w:p w14:paraId="1817DAC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8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6319D92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The Vans Cargoes and Foreign Trade Logistics Joint Stock Company -  Hai Phong Branch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876E59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Other investments: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452E637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B56985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41ED23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D745471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2D82434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4,117,975,200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8F1BEB9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28EC9F83" w14:textId="77777777" w:rsidTr="00D422B4">
        <w:tc>
          <w:tcPr>
            <w:tcW w:w="225" w:type="pct"/>
            <w:shd w:val="clear" w:color="auto" w:fill="auto"/>
            <w:vAlign w:val="center"/>
          </w:tcPr>
          <w:p w14:paraId="3186BE1A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9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937BF4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Vingal – Vnsteel Industries Joint Stock Company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AB25D8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Under the 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7BB40EF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5B70DCD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A9970C7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B884D13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7019005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266,993,915.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FED98D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6632195A" w14:textId="77777777" w:rsidTr="00D422B4">
        <w:tc>
          <w:tcPr>
            <w:tcW w:w="225" w:type="pct"/>
            <w:shd w:val="clear" w:color="auto" w:fill="auto"/>
            <w:vAlign w:val="center"/>
          </w:tcPr>
          <w:p w14:paraId="18B01B4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10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713C74A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Vnsteel - Ho Chi Minh City Metal Corporation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CD140D2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Under the 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2B07115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55EF26B1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52AC3C00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486B4D3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ED3E0EA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70,565,220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16837D1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197A0EC4" w14:textId="77777777" w:rsidTr="00D422B4">
        <w:tc>
          <w:tcPr>
            <w:tcW w:w="225" w:type="pct"/>
            <w:shd w:val="clear" w:color="auto" w:fill="auto"/>
            <w:vAlign w:val="center"/>
          </w:tcPr>
          <w:p w14:paraId="2B037607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11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ED3A65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Vingal – Vicasa Joint Stock Company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8A10922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Under the 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4E839AA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BF90034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A89B5B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00DEE41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179D7E1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234,712,700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5BA949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273427BF" w14:textId="77777777" w:rsidTr="00D422B4">
        <w:tc>
          <w:tcPr>
            <w:tcW w:w="225" w:type="pct"/>
            <w:shd w:val="clear" w:color="auto" w:fill="auto"/>
            <w:vAlign w:val="center"/>
          </w:tcPr>
          <w:p w14:paraId="7A95465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12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BB8B9A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Vnsteel - Thu Duc Steel JSC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8B7C05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Under the 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C5AC70A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19280A9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C5E8572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1324D25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1C6390A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1,294,946,820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C87221B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77B24B63" w14:textId="77777777" w:rsidTr="00D422B4">
        <w:tc>
          <w:tcPr>
            <w:tcW w:w="225" w:type="pct"/>
            <w:shd w:val="clear" w:color="auto" w:fill="auto"/>
            <w:vAlign w:val="center"/>
          </w:tcPr>
          <w:p w14:paraId="16E59E3C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13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F42118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Southern Steel Sheet </w:t>
            </w: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>Co., Ltd.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DA6392A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Under the </w:t>
            </w: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>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CEBB084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8DF8189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179267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FC621FC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</w:t>
            </w: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>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F12B090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Revenue from freight and </w:t>
            </w: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>services: VND 1,587,716,376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B0C735C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2EF3494A" w14:textId="77777777" w:rsidTr="00D422B4">
        <w:tc>
          <w:tcPr>
            <w:tcW w:w="225" w:type="pct"/>
            <w:shd w:val="clear" w:color="auto" w:fill="auto"/>
            <w:vAlign w:val="center"/>
          </w:tcPr>
          <w:p w14:paraId="0E03134C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14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70807AE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Nippovina CO.,LTD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A1B531B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Under the 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5503C28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2207C0E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34427C2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8B6354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1271C5F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108,700,000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4781CBD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0CD1433F" w14:textId="77777777" w:rsidTr="00D422B4">
        <w:tc>
          <w:tcPr>
            <w:tcW w:w="225" w:type="pct"/>
            <w:shd w:val="clear" w:color="auto" w:fill="auto"/>
            <w:vAlign w:val="center"/>
          </w:tcPr>
          <w:p w14:paraId="464F726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15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0E59191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Nippovina CO.,LTD - Can Tho Branch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20E5CF1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Under the 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C10475D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78EB55E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48D0B748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A1420B9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1380B56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5,000,000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E17A994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3831BAC2" w14:textId="77777777" w:rsidTr="00D422B4">
        <w:tc>
          <w:tcPr>
            <w:tcW w:w="225" w:type="pct"/>
            <w:shd w:val="clear" w:color="auto" w:fill="auto"/>
            <w:vAlign w:val="center"/>
          </w:tcPr>
          <w:p w14:paraId="530D8F5E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16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A41EDED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Binh Tay Steel Wire Netting JSC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E5182B3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Under the Vnsteel system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80FF28D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6D91026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04D3E4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E5ACD4F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C832D4A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19,444,444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F6D1E57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  <w:tr w:rsidR="00AD0210" w:rsidRPr="00AD0210" w14:paraId="41A5FB8A" w14:textId="77777777" w:rsidTr="00D422B4">
        <w:tc>
          <w:tcPr>
            <w:tcW w:w="225" w:type="pct"/>
            <w:shd w:val="clear" w:color="auto" w:fill="auto"/>
            <w:vAlign w:val="center"/>
          </w:tcPr>
          <w:p w14:paraId="66D6856F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 xml:space="preserve">17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EC9CED0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VNSTEEL - Nha Be Steel JSC - Nhon Trach Branch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F0FD316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Under the Vnsteel system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D21BE73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293F1E1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0B3361A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In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62F7CD4" w14:textId="77777777" w:rsidR="00AD0210" w:rsidRPr="00AD0210" w:rsidRDefault="00AD0210" w:rsidP="00D422B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Resolution No. 50/NQ-VIN dated March 10, 2023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6D4B4BE" w14:textId="77777777" w:rsidR="00AD0210" w:rsidRPr="00AD0210" w:rsidRDefault="00AD0210" w:rsidP="00AD0210">
            <w:pPr>
              <w:pStyle w:val="Khc0"/>
              <w:numPr>
                <w:ilvl w:val="0"/>
                <w:numId w:val="9"/>
              </w:numP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</w:rPr>
            </w:pPr>
            <w:r w:rsidRPr="00AD0210">
              <w:rPr>
                <w:rFonts w:ascii="Arial" w:hAnsi="Arial"/>
                <w:bCs/>
                <w:color w:val="010000"/>
                <w:sz w:val="20"/>
              </w:rPr>
              <w:t>Revenue from freight and services: VND 90,493,469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926D429" w14:textId="77777777" w:rsidR="00AD0210" w:rsidRPr="00AD0210" w:rsidRDefault="00AD0210" w:rsidP="00D422B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10"/>
              </w:rPr>
            </w:pPr>
          </w:p>
        </w:tc>
      </w:tr>
    </w:tbl>
    <w:p w14:paraId="13ECC5F7" w14:textId="474D1E9F" w:rsidR="00EF14BE" w:rsidRPr="00A236C5" w:rsidRDefault="003A0E6D" w:rsidP="00C56A73">
      <w:pPr>
        <w:pStyle w:val="Vnbnnidung0"/>
        <w:numPr>
          <w:ilvl w:val="0"/>
          <w:numId w:val="5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C56A73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None.</w:t>
      </w:r>
    </w:p>
    <w:p w14:paraId="13ECC5F8" w14:textId="43B9485A" w:rsidR="00EF14BE" w:rsidRPr="00A236C5" w:rsidRDefault="003A0E6D" w:rsidP="00C56A73">
      <w:pPr>
        <w:pStyle w:val="Vnbnnidung0"/>
        <w:numPr>
          <w:ilvl w:val="0"/>
          <w:numId w:val="5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13ECC5F9" w14:textId="747A5893" w:rsidR="00EF14BE" w:rsidRPr="00A236C5" w:rsidRDefault="003A0E6D" w:rsidP="00C56A73">
      <w:pPr>
        <w:pStyle w:val="Vnbnnidung0"/>
        <w:numPr>
          <w:ilvl w:val="1"/>
          <w:numId w:val="5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member</w:t>
      </w:r>
      <w:r w:rsidR="00C56A73">
        <w:rPr>
          <w:rFonts w:ascii="Arial" w:hAnsi="Arial"/>
          <w:color w:val="010000"/>
          <w:sz w:val="20"/>
        </w:rPr>
        <w:t>s of the Supervisory Board, Managing Director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C56A73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 xml:space="preserve">have been founding members or members </w:t>
      </w:r>
      <w:r w:rsidR="00C56A73">
        <w:rPr>
          <w:rFonts w:ascii="Arial" w:hAnsi="Arial"/>
          <w:color w:val="010000"/>
          <w:sz w:val="20"/>
        </w:rPr>
        <w:t>of the Board of Directors, or E</w:t>
      </w:r>
      <w:r>
        <w:rPr>
          <w:rFonts w:ascii="Arial" w:hAnsi="Arial"/>
          <w:color w:val="010000"/>
          <w:sz w:val="20"/>
        </w:rPr>
        <w:t xml:space="preserve">xecutive </w:t>
      </w:r>
      <w:r w:rsidR="00C56A73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 xml:space="preserve"> for the past three (03) years (at the </w:t>
      </w:r>
      <w:r w:rsidR="00C56A73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None.</w:t>
      </w:r>
    </w:p>
    <w:p w14:paraId="13ECC5FA" w14:textId="18F83353" w:rsidR="00EF14BE" w:rsidRPr="00A236C5" w:rsidRDefault="003A0E6D" w:rsidP="00C56A73">
      <w:pPr>
        <w:pStyle w:val="Vnbnnidung0"/>
        <w:numPr>
          <w:ilvl w:val="1"/>
          <w:numId w:val="5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C56A73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Board, </w:t>
      </w:r>
      <w:r w:rsidR="00C56A73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C56A73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C56A73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</w:t>
      </w:r>
      <w:r w:rsidR="00C56A73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>: None.</w:t>
      </w:r>
    </w:p>
    <w:p w14:paraId="13ECC5FB" w14:textId="08E3016E" w:rsidR="00EF14BE" w:rsidRPr="00A236C5" w:rsidRDefault="003A0E6D" w:rsidP="00C56A73">
      <w:pPr>
        <w:pStyle w:val="Vnbnnidung0"/>
        <w:numPr>
          <w:ilvl w:val="1"/>
          <w:numId w:val="5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C56A73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C56A73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managers: None.</w:t>
      </w:r>
    </w:p>
    <w:p w14:paraId="13ECC5FC" w14:textId="7E097868" w:rsidR="00EF14BE" w:rsidRPr="00A236C5" w:rsidRDefault="003A0E6D" w:rsidP="00C56A73">
      <w:pPr>
        <w:pStyle w:val="Vnbnnidung0"/>
        <w:numPr>
          <w:ilvl w:val="0"/>
          <w:numId w:val="10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lastRenderedPageBreak/>
        <w:t xml:space="preserve">Share transaction of PDMR and </w:t>
      </w:r>
      <w:r w:rsidR="00C56A73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 2023):</w:t>
      </w:r>
    </w:p>
    <w:p w14:paraId="13ECC5FF" w14:textId="2CB17A31" w:rsidR="00EF14BE" w:rsidRPr="00A236C5" w:rsidRDefault="003A0E6D" w:rsidP="0046703E">
      <w:pPr>
        <w:pStyle w:val="Chthchbng0"/>
        <w:numPr>
          <w:ilvl w:val="0"/>
          <w:numId w:val="1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Transaction of PDMR and </w:t>
      </w:r>
      <w:r w:rsidR="00C56A73">
        <w:rPr>
          <w:rFonts w:ascii="Arial" w:hAnsi="Arial"/>
          <w:b w:val="0"/>
          <w:color w:val="010000"/>
          <w:sz w:val="20"/>
        </w:rPr>
        <w:t>related</w:t>
      </w:r>
      <w:r>
        <w:rPr>
          <w:rFonts w:ascii="Arial" w:hAnsi="Arial"/>
          <w:b w:val="0"/>
          <w:color w:val="010000"/>
          <w:sz w:val="20"/>
        </w:rPr>
        <w:t xml:space="preserve"> persons related to the Company’s shares: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3306"/>
        <w:gridCol w:w="1705"/>
        <w:gridCol w:w="1258"/>
        <w:gridCol w:w="1618"/>
        <w:gridCol w:w="1442"/>
        <w:gridCol w:w="1811"/>
        <w:gridCol w:w="2064"/>
      </w:tblGrid>
      <w:tr w:rsidR="0015628D" w:rsidRPr="00A236C5" w14:paraId="13ECC606" w14:textId="77777777" w:rsidTr="0015628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0" w14:textId="77777777" w:rsidR="00EF14BE" w:rsidRPr="00A236C5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1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2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3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Number of shares owned personally at the beginning of the period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4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Number of shares owned personally at the end of the period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C605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15628D" w:rsidRPr="00A236C5" w14:paraId="13ECC60F" w14:textId="77777777" w:rsidTr="0015628D"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CC607" w14:textId="77777777" w:rsidR="00EF14BE" w:rsidRPr="00A236C5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CC608" w14:textId="77777777" w:rsidR="00EF14BE" w:rsidRPr="006C5484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CC609" w14:textId="77777777" w:rsidR="00EF14BE" w:rsidRPr="006C5484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A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B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C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C60D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C60E" w14:textId="77777777" w:rsidR="00EF14BE" w:rsidRPr="006C5484" w:rsidRDefault="00EF14BE" w:rsidP="0046703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15628D" w:rsidRPr="00A236C5" w14:paraId="13ECC618" w14:textId="77777777" w:rsidTr="0015628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C610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 xml:space="preserve">1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C611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Ms. Le Hoang Nhu Uyen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C612" w14:textId="516F3017" w:rsidR="00EF14BE" w:rsidRPr="006C5484" w:rsidRDefault="00C56A73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C613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 xml:space="preserve">4,200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C614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0.016%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C615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 xml:space="preserve">6,000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C616" w14:textId="77777777" w:rsidR="00EF14BE" w:rsidRPr="006C5484" w:rsidRDefault="003A0E6D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C5484">
              <w:rPr>
                <w:rFonts w:ascii="Arial" w:hAnsi="Arial"/>
                <w:color w:val="010000"/>
                <w:sz w:val="20"/>
              </w:rPr>
              <w:t>0.024%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C617" w14:textId="0CFBA709" w:rsidR="00EF14BE" w:rsidRPr="006C5484" w:rsidRDefault="00C56A73" w:rsidP="0046703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and buy</w:t>
            </w:r>
            <w:bookmarkStart w:id="0" w:name="_GoBack"/>
            <w:bookmarkEnd w:id="0"/>
          </w:p>
        </w:tc>
      </w:tr>
    </w:tbl>
    <w:p w14:paraId="4D474012" w14:textId="09D2D7D6" w:rsidR="0015628D" w:rsidRPr="00A236C5" w:rsidRDefault="003A0E6D" w:rsidP="0046703E">
      <w:pPr>
        <w:pStyle w:val="Chthchb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Other significant issues:</w:t>
      </w:r>
    </w:p>
    <w:p w14:paraId="13ECC622" w14:textId="6DD542F5" w:rsidR="00EF14BE" w:rsidRPr="00A236C5" w:rsidRDefault="00EF14BE" w:rsidP="0046703E">
      <w:pPr>
        <w:pStyle w:val="Tiu10"/>
        <w:keepNext/>
        <w:tabs>
          <w:tab w:val="left" w:pos="360"/>
        </w:tabs>
        <w:spacing w:after="120" w:line="360" w:lineRule="auto"/>
        <w:jc w:val="left"/>
        <w:outlineLvl w:val="9"/>
        <w:rPr>
          <w:rFonts w:ascii="Arial" w:hAnsi="Arial" w:cs="Arial"/>
          <w:b w:val="0"/>
          <w:color w:val="010000"/>
          <w:sz w:val="20"/>
        </w:rPr>
      </w:pPr>
    </w:p>
    <w:sectPr w:rsidR="00EF14BE" w:rsidRPr="00A236C5" w:rsidSect="00390115">
      <w:type w:val="continuous"/>
      <w:pgSz w:w="16839" w:h="11907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482B" w14:textId="77777777" w:rsidR="00993199" w:rsidRDefault="00993199">
      <w:r>
        <w:separator/>
      </w:r>
    </w:p>
  </w:endnote>
  <w:endnote w:type="continuationSeparator" w:id="0">
    <w:p w14:paraId="0F422CB3" w14:textId="77777777" w:rsidR="00993199" w:rsidRDefault="009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EC85" w14:textId="77777777" w:rsidR="00993199" w:rsidRDefault="00993199"/>
  </w:footnote>
  <w:footnote w:type="continuationSeparator" w:id="0">
    <w:p w14:paraId="293CBE2F" w14:textId="77777777" w:rsidR="00993199" w:rsidRDefault="00993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03A"/>
    <w:multiLevelType w:val="hybridMultilevel"/>
    <w:tmpl w:val="948AECC0"/>
    <w:lvl w:ilvl="0" w:tplc="7F36D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F05"/>
    <w:multiLevelType w:val="multilevel"/>
    <w:tmpl w:val="726031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C472F"/>
    <w:multiLevelType w:val="hybridMultilevel"/>
    <w:tmpl w:val="20F26A16"/>
    <w:lvl w:ilvl="0" w:tplc="9FCCC93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2F5D"/>
    <w:multiLevelType w:val="hybridMultilevel"/>
    <w:tmpl w:val="FFE249EA"/>
    <w:lvl w:ilvl="0" w:tplc="9FCCC93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0425"/>
    <w:multiLevelType w:val="hybridMultilevel"/>
    <w:tmpl w:val="9834A2B8"/>
    <w:lvl w:ilvl="0" w:tplc="9FCCC93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293A"/>
    <w:multiLevelType w:val="hybridMultilevel"/>
    <w:tmpl w:val="130AADDA"/>
    <w:lvl w:ilvl="0" w:tplc="E76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4E5B"/>
    <w:multiLevelType w:val="hybridMultilevel"/>
    <w:tmpl w:val="980A585A"/>
    <w:lvl w:ilvl="0" w:tplc="12B06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16A"/>
    <w:multiLevelType w:val="hybridMultilevel"/>
    <w:tmpl w:val="4AB8C1C6"/>
    <w:lvl w:ilvl="0" w:tplc="9FCCC930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13098"/>
    <w:multiLevelType w:val="hybridMultilevel"/>
    <w:tmpl w:val="1FCE8146"/>
    <w:lvl w:ilvl="0" w:tplc="A5F89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1B02"/>
    <w:multiLevelType w:val="multilevel"/>
    <w:tmpl w:val="41642380"/>
    <w:lvl w:ilvl="0">
      <w:start w:val="5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026AC3"/>
    <w:multiLevelType w:val="multilevel"/>
    <w:tmpl w:val="CF78DD5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11595B"/>
    <w:multiLevelType w:val="multilevel"/>
    <w:tmpl w:val="88C6BC54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190B31"/>
    <w:multiLevelType w:val="multilevel"/>
    <w:tmpl w:val="A2ECBAC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E"/>
    <w:rsid w:val="00083B3F"/>
    <w:rsid w:val="000A65E5"/>
    <w:rsid w:val="0015628D"/>
    <w:rsid w:val="00266802"/>
    <w:rsid w:val="002A2093"/>
    <w:rsid w:val="002D0CAD"/>
    <w:rsid w:val="00390115"/>
    <w:rsid w:val="003A0E6D"/>
    <w:rsid w:val="00402AA7"/>
    <w:rsid w:val="004566FE"/>
    <w:rsid w:val="0046703E"/>
    <w:rsid w:val="004839CD"/>
    <w:rsid w:val="004C2676"/>
    <w:rsid w:val="006A5134"/>
    <w:rsid w:val="006C5484"/>
    <w:rsid w:val="006D38DE"/>
    <w:rsid w:val="00993199"/>
    <w:rsid w:val="009A02BD"/>
    <w:rsid w:val="009D49E8"/>
    <w:rsid w:val="009F7204"/>
    <w:rsid w:val="00A236C5"/>
    <w:rsid w:val="00AA568C"/>
    <w:rsid w:val="00AD0210"/>
    <w:rsid w:val="00B11FA7"/>
    <w:rsid w:val="00B84150"/>
    <w:rsid w:val="00BB479D"/>
    <w:rsid w:val="00C56A73"/>
    <w:rsid w:val="00C76425"/>
    <w:rsid w:val="00CF0E12"/>
    <w:rsid w:val="00D055D5"/>
    <w:rsid w:val="00D53091"/>
    <w:rsid w:val="00EF14BE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3A9"/>
  <w15:docId w15:val="{912DC765-B16D-4657-8176-E0F47B23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C9394D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2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1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326" w:lineRule="auto"/>
      <w:ind w:left="1080" w:firstLine="5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329" w:lineRule="auto"/>
    </w:pPr>
    <w:rPr>
      <w:rFonts w:ascii="Arial" w:eastAsia="Arial" w:hAnsi="Arial" w:cs="Arial"/>
      <w:b/>
      <w:bCs/>
      <w:color w:val="C9394D"/>
      <w:sz w:val="15"/>
      <w:szCs w:val="15"/>
    </w:rPr>
  </w:style>
  <w:style w:type="paragraph" w:customStyle="1" w:styleId="Vnbnnidung50">
    <w:name w:val="Văn bản nội dung (5)"/>
    <w:basedOn w:val="Normal"/>
    <w:link w:val="Vnbnnidung5"/>
    <w:pPr>
      <w:spacing w:line="23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2024-01-31T11:11:00Z</dcterms:created>
  <dcterms:modified xsi:type="dcterms:W3CDTF">2024-01-31T11:11:00Z</dcterms:modified>
</cp:coreProperties>
</file>