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45320" w14:textId="77777777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2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487348">
        <w:rPr>
          <w:rFonts w:ascii="Arial" w:hAnsi="Arial" w:cs="Arial"/>
          <w:b/>
          <w:color w:val="010000"/>
          <w:sz w:val="20"/>
        </w:rPr>
        <w:t>DRI: Board Resolution</w:t>
      </w:r>
    </w:p>
    <w:p w14:paraId="52D5DCB9" w14:textId="77777777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8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On December 30, 2023, </w:t>
      </w:r>
      <w:proofErr w:type="spellStart"/>
      <w:r w:rsidRPr="00487348">
        <w:rPr>
          <w:rFonts w:ascii="Arial" w:hAnsi="Arial" w:cs="Arial"/>
          <w:color w:val="010000"/>
          <w:sz w:val="20"/>
        </w:rPr>
        <w:t>Dak</w:t>
      </w:r>
      <w:proofErr w:type="spellEnd"/>
      <w:r w:rsidRPr="0048734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87348">
        <w:rPr>
          <w:rFonts w:ascii="Arial" w:hAnsi="Arial" w:cs="Arial"/>
          <w:color w:val="010000"/>
          <w:sz w:val="20"/>
        </w:rPr>
        <w:t>Lak</w:t>
      </w:r>
      <w:proofErr w:type="spellEnd"/>
      <w:r w:rsidRPr="00487348">
        <w:rPr>
          <w:rFonts w:ascii="Arial" w:hAnsi="Arial" w:cs="Arial"/>
          <w:color w:val="010000"/>
          <w:sz w:val="20"/>
        </w:rPr>
        <w:t xml:space="preserve"> Rubber Investment Joint Stock Company announced Resolution No. 10/NQ-HDQT as follows:</w:t>
      </w:r>
      <w:r w:rsidRPr="00487348">
        <w:rPr>
          <w:rFonts w:ascii="Arial" w:hAnsi="Arial" w:cs="Arial"/>
          <w:color w:val="010000"/>
          <w:sz w:val="20"/>
        </w:rPr>
        <w:tab/>
      </w:r>
    </w:p>
    <w:p w14:paraId="718186D6" w14:textId="77777777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‎‎Article 1. Regarding the results of implementing the Board Resolution:</w:t>
      </w:r>
    </w:p>
    <w:p w14:paraId="111EB396" w14:textId="77777777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The Board of Directors approves the contents of the Report of the Board of Directors’ Secretariat on implementing Board Resolution No. 07 dated October 12, 2023; No. 08 dated November 8, 2023; No. 09 dated December 8, 2023.</w:t>
      </w:r>
    </w:p>
    <w:p w14:paraId="61DC2E13" w14:textId="49D463CC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Article 2. Regarding the </w:t>
      </w:r>
      <w:r w:rsidR="009357B7" w:rsidRPr="00487348">
        <w:rPr>
          <w:rFonts w:ascii="Arial" w:hAnsi="Arial" w:cs="Arial"/>
          <w:color w:val="010000"/>
          <w:sz w:val="20"/>
        </w:rPr>
        <w:t xml:space="preserve">Preliminary </w:t>
      </w:r>
      <w:r w:rsidRPr="00487348">
        <w:rPr>
          <w:rFonts w:ascii="Arial" w:hAnsi="Arial" w:cs="Arial"/>
          <w:color w:val="010000"/>
          <w:sz w:val="20"/>
        </w:rPr>
        <w:t>Report on production and business results in 2023 and the progress in implementing the Sustainable Development Plan:</w:t>
      </w:r>
    </w:p>
    <w:p w14:paraId="56E06BAA" w14:textId="77777777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Approve the Executive Board's Report on preliminary production and business results in 2023 and the progress in implementing the Sustainable Development Plan. The Board of Directors directs the implementation of a number of contents to implement production and business plan 2024 as follows:</w:t>
      </w:r>
    </w:p>
    <w:p w14:paraId="7A8F2DA6" w14:textId="77777777" w:rsidR="00927F23" w:rsidRPr="00487348" w:rsidRDefault="00810F8F" w:rsidP="00810F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For </w:t>
      </w:r>
      <w:proofErr w:type="spellStart"/>
      <w:r w:rsidRPr="00487348">
        <w:rPr>
          <w:rFonts w:ascii="Arial" w:hAnsi="Arial" w:cs="Arial"/>
          <w:color w:val="010000"/>
          <w:sz w:val="20"/>
        </w:rPr>
        <w:t>Daklaoruco</w:t>
      </w:r>
      <w:proofErr w:type="spellEnd"/>
      <w:r w:rsidRPr="00487348">
        <w:rPr>
          <w:rFonts w:ascii="Arial" w:hAnsi="Arial" w:cs="Arial"/>
          <w:color w:val="010000"/>
          <w:sz w:val="20"/>
        </w:rPr>
        <w:t>:</w:t>
      </w:r>
    </w:p>
    <w:p w14:paraId="61D731CA" w14:textId="48674927" w:rsidR="00927F23" w:rsidRPr="00487348" w:rsidRDefault="00810F8F" w:rsidP="00810F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Organize latex exploitation in Q1/2024 to achieve the highest possible results. Prepare materials for latex extraction, design </w:t>
      </w:r>
      <w:r w:rsidR="009357B7" w:rsidRPr="00487348">
        <w:rPr>
          <w:rFonts w:ascii="Arial" w:hAnsi="Arial" w:cs="Arial"/>
          <w:color w:val="010000"/>
          <w:sz w:val="20"/>
        </w:rPr>
        <w:t>tapping</w:t>
      </w:r>
      <w:r w:rsidR="006D2FE0" w:rsidRPr="00487348">
        <w:rPr>
          <w:rFonts w:ascii="Arial" w:hAnsi="Arial" w:cs="Arial"/>
          <w:color w:val="010000"/>
          <w:sz w:val="20"/>
        </w:rPr>
        <w:t xml:space="preserve"> </w:t>
      </w:r>
      <w:r w:rsidR="009357B7" w:rsidRPr="00487348">
        <w:rPr>
          <w:rFonts w:ascii="Arial" w:hAnsi="Arial" w:cs="Arial"/>
          <w:color w:val="010000"/>
          <w:sz w:val="20"/>
        </w:rPr>
        <w:t>panels</w:t>
      </w:r>
      <w:r w:rsidRPr="00487348">
        <w:rPr>
          <w:rFonts w:ascii="Arial" w:hAnsi="Arial" w:cs="Arial"/>
          <w:color w:val="010000"/>
          <w:sz w:val="20"/>
        </w:rPr>
        <w:t>, and equip materials early. Actively survey and recruit latex exploitation workers to prepare for 2024; Increase the construction of housing for workers to both ensure compliance with FSC regulations and provide stable housing for workers.</w:t>
      </w:r>
    </w:p>
    <w:p w14:paraId="179DEF39" w14:textId="77777777" w:rsidR="00927F23" w:rsidRPr="00487348" w:rsidRDefault="00810F8F" w:rsidP="00810F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Continue to coordinate with DRI to recruit indirect workers and organize training for team managers in Q1/2024.</w:t>
      </w:r>
    </w:p>
    <w:p w14:paraId="20EF1335" w14:textId="77777777" w:rsidR="00927F23" w:rsidRPr="00487348" w:rsidRDefault="00810F8F" w:rsidP="00810F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0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Continue to improve salary for direct and indirect workers to ensure employee retention and stimulate production.</w:t>
      </w:r>
    </w:p>
    <w:p w14:paraId="0EC0A642" w14:textId="77777777" w:rsidR="00927F23" w:rsidRPr="00487348" w:rsidRDefault="00810F8F" w:rsidP="00810F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Continue to coordinate with the government to implement the work of protecting latex products, </w:t>
      </w:r>
      <w:proofErr w:type="gramStart"/>
      <w:r w:rsidRPr="00487348">
        <w:rPr>
          <w:rFonts w:ascii="Arial" w:hAnsi="Arial" w:cs="Arial"/>
          <w:color w:val="010000"/>
          <w:sz w:val="20"/>
        </w:rPr>
        <w:t>strengthening</w:t>
      </w:r>
      <w:proofErr w:type="gramEnd"/>
      <w:r w:rsidRPr="00487348">
        <w:rPr>
          <w:rFonts w:ascii="Arial" w:hAnsi="Arial" w:cs="Arial"/>
          <w:color w:val="010000"/>
          <w:sz w:val="20"/>
        </w:rPr>
        <w:t xml:space="preserve"> security forces in areas with high risk of latex loss.</w:t>
      </w:r>
    </w:p>
    <w:p w14:paraId="0FB6E8D4" w14:textId="6EA7C1E9" w:rsidR="00927F23" w:rsidRPr="00487348" w:rsidRDefault="00810F8F" w:rsidP="00810F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Continue to implement the policy of buying outside latex for processing, striving to reach a minimum of 500 tons in 2024</w:t>
      </w:r>
      <w:r w:rsidR="006D2FE0" w:rsidRPr="00487348">
        <w:rPr>
          <w:rFonts w:ascii="Arial" w:hAnsi="Arial" w:cs="Arial"/>
          <w:color w:val="010000"/>
          <w:sz w:val="20"/>
        </w:rPr>
        <w:t>,</w:t>
      </w:r>
      <w:r w:rsidRPr="00487348">
        <w:rPr>
          <w:rFonts w:ascii="Arial" w:hAnsi="Arial" w:cs="Arial"/>
          <w:color w:val="010000"/>
          <w:sz w:val="20"/>
        </w:rPr>
        <w:t xml:space="preserve"> or </w:t>
      </w:r>
      <w:r w:rsidR="006D2FE0" w:rsidRPr="00487348">
        <w:rPr>
          <w:rFonts w:ascii="Arial" w:hAnsi="Arial" w:cs="Arial"/>
          <w:color w:val="010000"/>
          <w:sz w:val="20"/>
        </w:rPr>
        <w:t>provide processing outsourcing services</w:t>
      </w:r>
      <w:r w:rsidRPr="00487348">
        <w:rPr>
          <w:rFonts w:ascii="Arial" w:hAnsi="Arial" w:cs="Arial"/>
          <w:color w:val="010000"/>
          <w:sz w:val="20"/>
        </w:rPr>
        <w:t xml:space="preserve"> </w:t>
      </w:r>
      <w:r w:rsidR="006D2FE0" w:rsidRPr="00487348">
        <w:rPr>
          <w:rFonts w:ascii="Arial" w:hAnsi="Arial" w:cs="Arial"/>
          <w:color w:val="010000"/>
          <w:sz w:val="20"/>
        </w:rPr>
        <w:t>to</w:t>
      </w:r>
      <w:r w:rsidRPr="00487348">
        <w:rPr>
          <w:rFonts w:ascii="Arial" w:hAnsi="Arial" w:cs="Arial"/>
          <w:color w:val="010000"/>
          <w:sz w:val="20"/>
        </w:rPr>
        <w:t xml:space="preserve"> outside partners to utilize the factory's capacity. </w:t>
      </w:r>
    </w:p>
    <w:p w14:paraId="770EBEFD" w14:textId="1DDF9495" w:rsidR="00927F23" w:rsidRPr="00487348" w:rsidRDefault="00810F8F" w:rsidP="00810F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Focus on correcting errors via internal assessment of </w:t>
      </w:r>
      <w:r w:rsidR="006D2FE0" w:rsidRPr="00487348">
        <w:rPr>
          <w:rFonts w:ascii="Arial" w:hAnsi="Arial" w:cs="Arial"/>
          <w:color w:val="010000"/>
          <w:sz w:val="20"/>
        </w:rPr>
        <w:t xml:space="preserve">the </w:t>
      </w:r>
      <w:r w:rsidRPr="00487348">
        <w:rPr>
          <w:rFonts w:ascii="Arial" w:hAnsi="Arial" w:cs="Arial"/>
          <w:color w:val="010000"/>
          <w:sz w:val="20"/>
        </w:rPr>
        <w:t xml:space="preserve">implementation of FSC standards; at the same time, complete FSC dossiers and the </w:t>
      </w:r>
      <w:r w:rsidR="006D2FE0" w:rsidRPr="00487348">
        <w:rPr>
          <w:rFonts w:ascii="Arial" w:hAnsi="Arial" w:cs="Arial"/>
          <w:color w:val="010000"/>
          <w:sz w:val="20"/>
        </w:rPr>
        <w:t>Environmental Management System</w:t>
      </w:r>
      <w:r w:rsidRPr="00487348">
        <w:rPr>
          <w:rFonts w:ascii="Arial" w:hAnsi="Arial" w:cs="Arial"/>
          <w:color w:val="010000"/>
          <w:sz w:val="20"/>
        </w:rPr>
        <w:t xml:space="preserve"> certification dossier according to ISO 14001:2015 standard. These contents will be implemented in Q1/2024 </w:t>
      </w:r>
      <w:r w:rsidR="006D2FE0" w:rsidRPr="00487348">
        <w:rPr>
          <w:rFonts w:ascii="Arial" w:hAnsi="Arial" w:cs="Arial"/>
          <w:color w:val="010000"/>
          <w:sz w:val="20"/>
        </w:rPr>
        <w:t>to invite</w:t>
      </w:r>
      <w:r w:rsidRPr="00487348">
        <w:rPr>
          <w:rFonts w:ascii="Arial" w:hAnsi="Arial" w:cs="Arial"/>
          <w:color w:val="010000"/>
          <w:sz w:val="20"/>
        </w:rPr>
        <w:t xml:space="preserve"> an independent evaluation organization to evaluate from Q2 or Q3/2024.</w:t>
      </w:r>
    </w:p>
    <w:p w14:paraId="0BC1F609" w14:textId="2D40D281" w:rsidR="00927F23" w:rsidRPr="00487348" w:rsidRDefault="00810F8F" w:rsidP="00810F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Set up an investment project to replant rubber </w:t>
      </w:r>
      <w:r w:rsidR="006D2FE0" w:rsidRPr="00487348">
        <w:rPr>
          <w:rFonts w:ascii="Arial" w:hAnsi="Arial" w:cs="Arial"/>
          <w:color w:val="010000"/>
          <w:sz w:val="20"/>
        </w:rPr>
        <w:t>plantation</w:t>
      </w:r>
      <w:r w:rsidRPr="00487348">
        <w:rPr>
          <w:rFonts w:ascii="Arial" w:hAnsi="Arial" w:cs="Arial"/>
          <w:color w:val="010000"/>
          <w:sz w:val="20"/>
        </w:rPr>
        <w:t xml:space="preserve">s to prepare </w:t>
      </w:r>
      <w:r w:rsidR="006D2FE0" w:rsidRPr="00487348">
        <w:rPr>
          <w:rFonts w:ascii="Arial" w:hAnsi="Arial" w:cs="Arial"/>
          <w:color w:val="010000"/>
          <w:sz w:val="20"/>
        </w:rPr>
        <w:t xml:space="preserve">a </w:t>
      </w:r>
      <w:r w:rsidRPr="00487348">
        <w:rPr>
          <w:rFonts w:ascii="Arial" w:hAnsi="Arial" w:cs="Arial"/>
          <w:color w:val="010000"/>
          <w:sz w:val="20"/>
        </w:rPr>
        <w:t xml:space="preserve">capital borrowing dossier at </w:t>
      </w:r>
      <w:proofErr w:type="spellStart"/>
      <w:r w:rsidRPr="00487348">
        <w:rPr>
          <w:rFonts w:ascii="Arial" w:hAnsi="Arial" w:cs="Arial"/>
          <w:color w:val="010000"/>
          <w:sz w:val="20"/>
        </w:rPr>
        <w:t>Vietinbank</w:t>
      </w:r>
      <w:proofErr w:type="spellEnd"/>
      <w:r w:rsidRPr="00487348">
        <w:rPr>
          <w:rFonts w:ascii="Arial" w:hAnsi="Arial" w:cs="Arial"/>
          <w:color w:val="010000"/>
          <w:sz w:val="20"/>
        </w:rPr>
        <w:t xml:space="preserve"> in Laos.</w:t>
      </w:r>
    </w:p>
    <w:p w14:paraId="2B087024" w14:textId="2C137638" w:rsidR="00927F23" w:rsidRPr="00487348" w:rsidRDefault="00810F8F" w:rsidP="00810F8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Prepare a plan to celebrate the 20th Anniversary of </w:t>
      </w:r>
      <w:proofErr w:type="spellStart"/>
      <w:r w:rsidRPr="00487348">
        <w:rPr>
          <w:rFonts w:ascii="Arial" w:hAnsi="Arial" w:cs="Arial"/>
          <w:color w:val="010000"/>
          <w:sz w:val="20"/>
        </w:rPr>
        <w:t>Daklaoruco's</w:t>
      </w:r>
      <w:proofErr w:type="spellEnd"/>
      <w:r w:rsidRPr="00487348">
        <w:rPr>
          <w:rFonts w:ascii="Arial" w:hAnsi="Arial" w:cs="Arial"/>
          <w:color w:val="010000"/>
          <w:sz w:val="20"/>
        </w:rPr>
        <w:t xml:space="preserve"> founding, report to the Board of Directors for knowledge and direction in Q1/2024.</w:t>
      </w:r>
    </w:p>
    <w:p w14:paraId="7DC2E9BE" w14:textId="77777777" w:rsidR="00927F23" w:rsidRPr="00487348" w:rsidRDefault="00810F8F" w:rsidP="00810F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For DRI High-Tech Agriculture Limited Company:</w:t>
      </w:r>
    </w:p>
    <w:p w14:paraId="398E27F8" w14:textId="7DA0DEBA" w:rsidR="00927F23" w:rsidRPr="00487348" w:rsidRDefault="00810F8F" w:rsidP="00810F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lastRenderedPageBreak/>
        <w:t xml:space="preserve">Focus on caring for and flowering the durian </w:t>
      </w:r>
      <w:r w:rsidR="006D2FE0" w:rsidRPr="00487348">
        <w:rPr>
          <w:rFonts w:ascii="Arial" w:hAnsi="Arial" w:cs="Arial"/>
          <w:color w:val="010000"/>
          <w:sz w:val="20"/>
        </w:rPr>
        <w:t>plantation</w:t>
      </w:r>
      <w:r w:rsidRPr="00487348">
        <w:rPr>
          <w:rFonts w:ascii="Arial" w:hAnsi="Arial" w:cs="Arial"/>
          <w:color w:val="010000"/>
          <w:sz w:val="20"/>
        </w:rPr>
        <w:t xml:space="preserve"> planted in 2018, ensuring the highest possible business efficiency. Focus on finding customers to consume durian.</w:t>
      </w:r>
    </w:p>
    <w:p w14:paraId="1DA01802" w14:textId="77777777" w:rsidR="00927F23" w:rsidRPr="00487348" w:rsidRDefault="00810F8F" w:rsidP="00810F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Gradually liquidate bananas planted in 2020 to ensure the growth and development of durian trees.</w:t>
      </w:r>
    </w:p>
    <w:p w14:paraId="21C5C012" w14:textId="77777777" w:rsidR="00927F23" w:rsidRPr="00487348" w:rsidRDefault="00810F8F" w:rsidP="00810F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For DRI Company:</w:t>
      </w:r>
    </w:p>
    <w:p w14:paraId="3A6646FC" w14:textId="77777777" w:rsidR="00927F23" w:rsidRPr="00487348" w:rsidRDefault="00810F8F" w:rsidP="00810F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Soon deploy the production and business plan 2024 so that units can proactively implement it.</w:t>
      </w:r>
    </w:p>
    <w:p w14:paraId="00BE003A" w14:textId="77777777" w:rsidR="00927F23" w:rsidRPr="00487348" w:rsidRDefault="00810F8F" w:rsidP="00810F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Promote the export of rubber latex, ensuring 65% of total sales volume. Support DRI High-Tech Agriculture Limited Company in durian consumption.</w:t>
      </w:r>
    </w:p>
    <w:p w14:paraId="141B59E9" w14:textId="7117E054" w:rsidR="00927F23" w:rsidRPr="00487348" w:rsidRDefault="00810F8F" w:rsidP="00810F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Continue to assign staff to support DRI High-Tech Agriculture Limited Company in managing </w:t>
      </w:r>
      <w:r w:rsidR="006D2FE0" w:rsidRPr="00487348">
        <w:rPr>
          <w:rFonts w:ascii="Arial" w:hAnsi="Arial" w:cs="Arial"/>
          <w:color w:val="010000"/>
          <w:sz w:val="20"/>
        </w:rPr>
        <w:t>and</w:t>
      </w:r>
      <w:r w:rsidRPr="00487348">
        <w:rPr>
          <w:rFonts w:ascii="Arial" w:hAnsi="Arial" w:cs="Arial"/>
          <w:color w:val="010000"/>
          <w:sz w:val="20"/>
        </w:rPr>
        <w:t xml:space="preserve"> taking care of the durian </w:t>
      </w:r>
      <w:r w:rsidR="006D2FE0" w:rsidRPr="00487348">
        <w:rPr>
          <w:rFonts w:ascii="Arial" w:hAnsi="Arial" w:cs="Arial"/>
          <w:color w:val="010000"/>
          <w:sz w:val="20"/>
        </w:rPr>
        <w:t>plantation</w:t>
      </w:r>
      <w:r w:rsidRPr="00487348">
        <w:rPr>
          <w:rFonts w:ascii="Arial" w:hAnsi="Arial" w:cs="Arial"/>
          <w:color w:val="010000"/>
          <w:sz w:val="20"/>
        </w:rPr>
        <w:t xml:space="preserve">s, closely following the </w:t>
      </w:r>
      <w:r w:rsidR="006D2FE0" w:rsidRPr="00487348">
        <w:rPr>
          <w:rFonts w:ascii="Arial" w:hAnsi="Arial" w:cs="Arial"/>
          <w:color w:val="010000"/>
          <w:sz w:val="20"/>
        </w:rPr>
        <w:t>plantation</w:t>
      </w:r>
      <w:r w:rsidRPr="00487348">
        <w:rPr>
          <w:rFonts w:ascii="Arial" w:hAnsi="Arial" w:cs="Arial"/>
          <w:color w:val="010000"/>
          <w:sz w:val="20"/>
        </w:rPr>
        <w:t>'s status for timely direction.</w:t>
      </w:r>
    </w:p>
    <w:p w14:paraId="7854F2E5" w14:textId="77777777" w:rsidR="00927F23" w:rsidRPr="00487348" w:rsidRDefault="00810F8F" w:rsidP="00810F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Continue to support </w:t>
      </w:r>
      <w:proofErr w:type="spellStart"/>
      <w:r w:rsidRPr="00487348">
        <w:rPr>
          <w:rFonts w:ascii="Arial" w:hAnsi="Arial" w:cs="Arial"/>
          <w:color w:val="010000"/>
          <w:sz w:val="20"/>
        </w:rPr>
        <w:t>Daklaoruco</w:t>
      </w:r>
      <w:proofErr w:type="spellEnd"/>
      <w:r w:rsidRPr="00487348">
        <w:rPr>
          <w:rFonts w:ascii="Arial" w:hAnsi="Arial" w:cs="Arial"/>
          <w:color w:val="010000"/>
          <w:sz w:val="20"/>
        </w:rPr>
        <w:t xml:space="preserve"> in recruiting indirect workers on a regular basis; Coordinate to organize training for team management staff.</w:t>
      </w:r>
    </w:p>
    <w:p w14:paraId="6DF729D2" w14:textId="77777777" w:rsidR="00927F23" w:rsidRPr="00487348" w:rsidRDefault="00810F8F" w:rsidP="00810F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Continue to coordinate with </w:t>
      </w:r>
      <w:proofErr w:type="spellStart"/>
      <w:r w:rsidRPr="00487348">
        <w:rPr>
          <w:rFonts w:ascii="Arial" w:hAnsi="Arial" w:cs="Arial"/>
          <w:color w:val="010000"/>
          <w:sz w:val="20"/>
        </w:rPr>
        <w:t>Daklaoruco</w:t>
      </w:r>
      <w:proofErr w:type="spellEnd"/>
      <w:r w:rsidRPr="00487348">
        <w:rPr>
          <w:rFonts w:ascii="Arial" w:hAnsi="Arial" w:cs="Arial"/>
          <w:color w:val="010000"/>
          <w:sz w:val="20"/>
        </w:rPr>
        <w:t xml:space="preserve"> to implement a sustainable rubber development plan to proceed with FSC-FM and FSC-</w:t>
      </w:r>
      <w:proofErr w:type="spellStart"/>
      <w:r w:rsidRPr="00487348">
        <w:rPr>
          <w:rFonts w:ascii="Arial" w:hAnsi="Arial" w:cs="Arial"/>
          <w:color w:val="010000"/>
          <w:sz w:val="20"/>
        </w:rPr>
        <w:t>CoC</w:t>
      </w:r>
      <w:proofErr w:type="spellEnd"/>
      <w:r w:rsidRPr="00487348">
        <w:rPr>
          <w:rFonts w:ascii="Arial" w:hAnsi="Arial" w:cs="Arial"/>
          <w:color w:val="010000"/>
          <w:sz w:val="20"/>
        </w:rPr>
        <w:t xml:space="preserve"> certification for wood and rubber products.</w:t>
      </w:r>
    </w:p>
    <w:p w14:paraId="3E0C51CE" w14:textId="77777777" w:rsidR="00927F23" w:rsidRPr="00487348" w:rsidRDefault="00810F8F" w:rsidP="00810F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Implement research to carry out sales procedures to the European Union in accordance with the European Union's Anti-Deforestation Law (EUDR).</w:t>
      </w:r>
    </w:p>
    <w:p w14:paraId="79AB10B1" w14:textId="493F8CCB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Article 3: Approve adjusting the reduced </w:t>
      </w:r>
      <w:r w:rsidR="006D2FE0" w:rsidRPr="00487348">
        <w:rPr>
          <w:rFonts w:ascii="Arial" w:hAnsi="Arial" w:cs="Arial"/>
          <w:color w:val="010000"/>
          <w:sz w:val="20"/>
        </w:rPr>
        <w:t>plantation</w:t>
      </w:r>
      <w:r w:rsidRPr="00487348">
        <w:rPr>
          <w:rFonts w:ascii="Arial" w:hAnsi="Arial" w:cs="Arial"/>
          <w:color w:val="010000"/>
          <w:sz w:val="20"/>
        </w:rPr>
        <w:t xml:space="preserve"> area in </w:t>
      </w:r>
      <w:proofErr w:type="spellStart"/>
      <w:r w:rsidRPr="00487348">
        <w:rPr>
          <w:rFonts w:ascii="Arial" w:hAnsi="Arial" w:cs="Arial"/>
          <w:color w:val="010000"/>
          <w:sz w:val="20"/>
        </w:rPr>
        <w:t>Daklaoruco</w:t>
      </w:r>
      <w:proofErr w:type="spellEnd"/>
      <w:r w:rsidRPr="00487348">
        <w:rPr>
          <w:rFonts w:ascii="Arial" w:hAnsi="Arial" w:cs="Arial"/>
          <w:color w:val="010000"/>
          <w:sz w:val="20"/>
        </w:rPr>
        <w:t xml:space="preserve"> according to Report No. 36/BC-CT dated December 27, 2023 of the General Manager of DRI. Thus, the total management area in </w:t>
      </w:r>
      <w:proofErr w:type="spellStart"/>
      <w:r w:rsidRPr="00487348">
        <w:rPr>
          <w:rFonts w:ascii="Arial" w:hAnsi="Arial" w:cs="Arial"/>
          <w:color w:val="010000"/>
          <w:sz w:val="20"/>
        </w:rPr>
        <w:t>Daklaoruco</w:t>
      </w:r>
      <w:proofErr w:type="spellEnd"/>
      <w:r w:rsidRPr="00487348">
        <w:rPr>
          <w:rFonts w:ascii="Arial" w:hAnsi="Arial" w:cs="Arial"/>
          <w:color w:val="010000"/>
          <w:sz w:val="20"/>
        </w:rPr>
        <w:t xml:space="preserve"> is redefined as 9,276.07 hectares, decreasing by 48.08 hectares.</w:t>
      </w:r>
    </w:p>
    <w:p w14:paraId="32AC53BB" w14:textId="77777777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‎‎Article 4. Latex sales formula in 2024:</w:t>
      </w:r>
    </w:p>
    <w:p w14:paraId="18150979" w14:textId="77777777" w:rsidR="00927F23" w:rsidRPr="00487348" w:rsidRDefault="00810F8F" w:rsidP="00810F8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Latex sales formula on short-term contract:</w:t>
      </w:r>
    </w:p>
    <w:tbl>
      <w:tblPr>
        <w:tblStyle w:val="a"/>
        <w:tblW w:w="5000" w:type="pct"/>
        <w:tblLook w:val="0000" w:firstRow="0" w:lastRow="0" w:firstColumn="0" w:lastColumn="0" w:noHBand="0" w:noVBand="0"/>
      </w:tblPr>
      <w:tblGrid>
        <w:gridCol w:w="1283"/>
        <w:gridCol w:w="3391"/>
        <w:gridCol w:w="2267"/>
        <w:gridCol w:w="2078"/>
      </w:tblGrid>
      <w:tr w:rsidR="00927F23" w:rsidRPr="00487348" w14:paraId="170874D6" w14:textId="77777777" w:rsidTr="005B4F7A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1926F1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Product type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F7F066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Export price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E54D8" w14:textId="200A54AD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Ex</w:t>
            </w:r>
            <w:r w:rsidR="005B4F7A" w:rsidRPr="00487348">
              <w:rPr>
                <w:rFonts w:ascii="Arial" w:hAnsi="Arial" w:cs="Arial"/>
                <w:color w:val="010000"/>
                <w:sz w:val="20"/>
              </w:rPr>
              <w:t>-w</w:t>
            </w:r>
            <w:r w:rsidRPr="00487348">
              <w:rPr>
                <w:rFonts w:ascii="Arial" w:hAnsi="Arial" w:cs="Arial"/>
                <w:color w:val="010000"/>
                <w:sz w:val="20"/>
              </w:rPr>
              <w:t>arehouse</w:t>
            </w:r>
            <w:r w:rsidR="005B4F7A" w:rsidRPr="00487348">
              <w:rPr>
                <w:rFonts w:ascii="Arial" w:hAnsi="Arial" w:cs="Arial"/>
                <w:color w:val="010000"/>
                <w:sz w:val="20"/>
              </w:rPr>
              <w:t xml:space="preserve"> Price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9A97F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Note</w:t>
            </w:r>
          </w:p>
        </w:tc>
      </w:tr>
      <w:tr w:rsidR="00927F23" w:rsidRPr="00487348" w14:paraId="172CEC6F" w14:textId="77777777" w:rsidTr="005B4F7A"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6E76C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SVR3L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98DE1E" w14:textId="55F32532" w:rsidR="00927F23" w:rsidRPr="00487348" w:rsidRDefault="005B4F7A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 xml:space="preserve">Formula </w:t>
            </w:r>
            <w:r w:rsidR="00810F8F" w:rsidRPr="00487348">
              <w:rPr>
                <w:rFonts w:ascii="Arial" w:hAnsi="Arial" w:cs="Arial"/>
                <w:color w:val="010000"/>
                <w:sz w:val="20"/>
              </w:rPr>
              <w:t xml:space="preserve">1: (SMRL + SMR5)/2 - 15% </w:t>
            </w:r>
          </w:p>
        </w:tc>
        <w:tc>
          <w:tcPr>
            <w:tcW w:w="12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8E1477" w14:textId="77777777" w:rsidR="00927F23" w:rsidRPr="00487348" w:rsidRDefault="00810F8F" w:rsidP="005B4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Export price - USD 100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404E6" w14:textId="7ACB684D" w:rsidR="00927F23" w:rsidRPr="00487348" w:rsidRDefault="005B4F7A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 xml:space="preserve">The price of </w:t>
            </w:r>
            <w:r w:rsidR="00810F8F" w:rsidRPr="00487348">
              <w:rPr>
                <w:rFonts w:ascii="Arial" w:hAnsi="Arial" w:cs="Arial"/>
                <w:color w:val="010000"/>
                <w:sz w:val="20"/>
              </w:rPr>
              <w:t xml:space="preserve">SMRL, SMR5 and SMR10 are </w:t>
            </w:r>
            <w:r w:rsidRPr="00487348">
              <w:rPr>
                <w:rFonts w:ascii="Arial" w:hAnsi="Arial" w:cs="Arial"/>
                <w:color w:val="010000"/>
                <w:sz w:val="20"/>
              </w:rPr>
              <w:t xml:space="preserve">calculated </w:t>
            </w:r>
            <w:r w:rsidR="00810F8F" w:rsidRPr="00487348">
              <w:rPr>
                <w:rFonts w:ascii="Arial" w:hAnsi="Arial" w:cs="Arial"/>
                <w:color w:val="010000"/>
                <w:sz w:val="20"/>
              </w:rPr>
              <w:t>as the average price of the 5 days adjacent to the price calculation date.</w:t>
            </w:r>
          </w:p>
        </w:tc>
      </w:tr>
      <w:tr w:rsidR="00927F23" w:rsidRPr="00487348" w14:paraId="5A8909C3" w14:textId="77777777" w:rsidTr="005B4F7A"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721FC" w14:textId="77777777" w:rsidR="00927F23" w:rsidRPr="00487348" w:rsidRDefault="00927F23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F9B36" w14:textId="6933ABA4" w:rsidR="00927F23" w:rsidRPr="00487348" w:rsidRDefault="005B4F7A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 xml:space="preserve">Formula </w:t>
            </w:r>
            <w:r w:rsidR="00810F8F" w:rsidRPr="00487348">
              <w:rPr>
                <w:rFonts w:ascii="Arial" w:hAnsi="Arial" w:cs="Arial"/>
                <w:color w:val="010000"/>
                <w:sz w:val="20"/>
              </w:rPr>
              <w:t xml:space="preserve">2: SVR10 + USD 60 </w:t>
            </w:r>
          </w:p>
        </w:tc>
        <w:tc>
          <w:tcPr>
            <w:tcW w:w="125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D23836" w14:textId="77777777" w:rsidR="00927F23" w:rsidRPr="00487348" w:rsidRDefault="00927F23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36866" w14:textId="77777777" w:rsidR="00927F23" w:rsidRPr="00487348" w:rsidRDefault="00927F23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27F23" w:rsidRPr="00487348" w14:paraId="0BD74477" w14:textId="77777777" w:rsidTr="005B4F7A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86F94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SVRCV60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ED76A1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SVR3L + USD 40</w:t>
            </w:r>
          </w:p>
        </w:tc>
        <w:tc>
          <w:tcPr>
            <w:tcW w:w="1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CCD9D" w14:textId="77777777" w:rsidR="00927F23" w:rsidRPr="00487348" w:rsidRDefault="00927F23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8D2AF" w14:textId="77777777" w:rsidR="00927F23" w:rsidRPr="00487348" w:rsidRDefault="00927F23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27F23" w:rsidRPr="00487348" w14:paraId="3761203D" w14:textId="77777777" w:rsidTr="005B4F7A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6A483E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SVR5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26982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SVR3L - USD 35</w:t>
            </w:r>
          </w:p>
        </w:tc>
        <w:tc>
          <w:tcPr>
            <w:tcW w:w="1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68B25" w14:textId="77777777" w:rsidR="00927F23" w:rsidRPr="00487348" w:rsidRDefault="00927F23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C51270" w14:textId="77777777" w:rsidR="00927F23" w:rsidRPr="00487348" w:rsidRDefault="00927F23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27F23" w:rsidRPr="00487348" w14:paraId="28447555" w14:textId="77777777" w:rsidTr="005B4F7A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E9DED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SVR10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9D57CD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SMR10 - 7%</w:t>
            </w:r>
          </w:p>
        </w:tc>
        <w:tc>
          <w:tcPr>
            <w:tcW w:w="1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E30FC" w14:textId="77777777" w:rsidR="00927F23" w:rsidRPr="00487348" w:rsidRDefault="00927F23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EA0166" w14:textId="77777777" w:rsidR="00927F23" w:rsidRPr="00487348" w:rsidRDefault="00927F23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927F23" w:rsidRPr="00487348" w14:paraId="2505AE5A" w14:textId="77777777" w:rsidTr="005B4F7A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5F819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SVR20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1BB618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SVR10 - USD 20</w:t>
            </w:r>
          </w:p>
        </w:tc>
        <w:tc>
          <w:tcPr>
            <w:tcW w:w="1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5767B" w14:textId="77777777" w:rsidR="00927F23" w:rsidRPr="00487348" w:rsidRDefault="00927F23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3F3CA0" w14:textId="77777777" w:rsidR="00927F23" w:rsidRPr="00487348" w:rsidRDefault="00927F23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6F70EBD0" w14:textId="7FDD2D17" w:rsidR="00927F23" w:rsidRPr="00487348" w:rsidRDefault="00810F8F" w:rsidP="00810F8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Authorization for DRI General </w:t>
      </w:r>
      <w:r w:rsidR="005B4F7A" w:rsidRPr="00487348">
        <w:rPr>
          <w:rFonts w:ascii="Arial" w:hAnsi="Arial" w:cs="Arial"/>
          <w:color w:val="010000"/>
          <w:sz w:val="20"/>
        </w:rPr>
        <w:t>Manager</w:t>
      </w:r>
      <w:r w:rsidRPr="00487348">
        <w:rPr>
          <w:rFonts w:ascii="Arial" w:hAnsi="Arial" w:cs="Arial"/>
          <w:color w:val="010000"/>
          <w:sz w:val="20"/>
        </w:rPr>
        <w:t xml:space="preserve"> in sales is as follows:</w:t>
      </w:r>
    </w:p>
    <w:p w14:paraId="5A137A5B" w14:textId="77777777" w:rsidR="00927F23" w:rsidRPr="00487348" w:rsidRDefault="00810F8F" w:rsidP="00810F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The General Manager has the rights to review and sell goods within the prescribed floor sales price calculated from the above formula.</w:t>
      </w:r>
    </w:p>
    <w:p w14:paraId="029E9EB7" w14:textId="60073E2F" w:rsidR="00927F23" w:rsidRPr="00487348" w:rsidRDefault="00810F8F" w:rsidP="00810F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The General Manager is authorized to sign contracts with unit prices</w:t>
      </w:r>
      <w:r w:rsidR="00060AA1" w:rsidRPr="00487348">
        <w:rPr>
          <w:rFonts w:ascii="Arial" w:hAnsi="Arial" w:cs="Arial"/>
          <w:color w:val="010000"/>
          <w:sz w:val="20"/>
        </w:rPr>
        <w:t xml:space="preserve"> up to 1%</w:t>
      </w:r>
      <w:r w:rsidRPr="00487348">
        <w:rPr>
          <w:rFonts w:ascii="Arial" w:hAnsi="Arial" w:cs="Arial"/>
          <w:color w:val="010000"/>
          <w:sz w:val="20"/>
        </w:rPr>
        <w:t xml:space="preserve"> lower than the prescribed floor price. For orders selling at a price lower</w:t>
      </w:r>
      <w:r w:rsidR="00060AA1" w:rsidRPr="00487348">
        <w:rPr>
          <w:rFonts w:ascii="Arial" w:hAnsi="Arial" w:cs="Arial"/>
          <w:color w:val="010000"/>
          <w:sz w:val="20"/>
        </w:rPr>
        <w:t xml:space="preserve"> by more than 1%</w:t>
      </w:r>
      <w:r w:rsidRPr="00487348">
        <w:rPr>
          <w:rFonts w:ascii="Arial" w:hAnsi="Arial" w:cs="Arial"/>
          <w:color w:val="010000"/>
          <w:sz w:val="20"/>
        </w:rPr>
        <w:t xml:space="preserve"> than the prescribed floor </w:t>
      </w:r>
      <w:r w:rsidRPr="00487348">
        <w:rPr>
          <w:rFonts w:ascii="Arial" w:hAnsi="Arial" w:cs="Arial"/>
          <w:color w:val="010000"/>
          <w:sz w:val="20"/>
        </w:rPr>
        <w:lastRenderedPageBreak/>
        <w:t>pric</w:t>
      </w:r>
      <w:r w:rsidR="00060AA1" w:rsidRPr="00487348">
        <w:rPr>
          <w:rFonts w:ascii="Arial" w:hAnsi="Arial" w:cs="Arial"/>
          <w:color w:val="010000"/>
          <w:sz w:val="20"/>
        </w:rPr>
        <w:t>e</w:t>
      </w:r>
      <w:r w:rsidRPr="00487348">
        <w:rPr>
          <w:rFonts w:ascii="Arial" w:hAnsi="Arial" w:cs="Arial"/>
          <w:color w:val="010000"/>
          <w:sz w:val="20"/>
        </w:rPr>
        <w:t xml:space="preserve">, there must be a legitimate reason and </w:t>
      </w:r>
      <w:r w:rsidR="00060AA1" w:rsidRPr="00487348">
        <w:rPr>
          <w:rFonts w:ascii="Arial" w:hAnsi="Arial" w:cs="Arial"/>
          <w:color w:val="010000"/>
          <w:sz w:val="20"/>
        </w:rPr>
        <w:t>must be approved</w:t>
      </w:r>
      <w:r w:rsidRPr="00487348">
        <w:rPr>
          <w:rFonts w:ascii="Arial" w:hAnsi="Arial" w:cs="Arial"/>
          <w:color w:val="010000"/>
          <w:sz w:val="20"/>
        </w:rPr>
        <w:t xml:space="preserve"> </w:t>
      </w:r>
      <w:r w:rsidR="00060AA1" w:rsidRPr="00487348">
        <w:rPr>
          <w:rFonts w:ascii="Arial" w:hAnsi="Arial" w:cs="Arial"/>
          <w:color w:val="010000"/>
          <w:sz w:val="20"/>
        </w:rPr>
        <w:t>by</w:t>
      </w:r>
      <w:r w:rsidRPr="00487348">
        <w:rPr>
          <w:rFonts w:ascii="Arial" w:hAnsi="Arial" w:cs="Arial"/>
          <w:color w:val="010000"/>
          <w:sz w:val="20"/>
        </w:rPr>
        <w:t xml:space="preserve"> the Chair of the Board of Directors.</w:t>
      </w:r>
    </w:p>
    <w:p w14:paraId="1A3B7506" w14:textId="77777777" w:rsidR="00927F23" w:rsidRPr="00487348" w:rsidRDefault="00810F8F" w:rsidP="00810F8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Applicable time: From January 1, 2024 to December 31, 2024.</w:t>
      </w:r>
    </w:p>
    <w:p w14:paraId="760536E7" w14:textId="77777777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Article 5: Regarding the main targets of the production and business plan 2024:</w:t>
      </w:r>
    </w:p>
    <w:p w14:paraId="411836F3" w14:textId="10E98105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30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Temporarily assign </w:t>
      </w:r>
      <w:r w:rsidR="00060AA1" w:rsidRPr="00487348">
        <w:rPr>
          <w:rFonts w:ascii="Arial" w:hAnsi="Arial" w:cs="Arial"/>
          <w:color w:val="010000"/>
          <w:sz w:val="20"/>
        </w:rPr>
        <w:t xml:space="preserve">the </w:t>
      </w:r>
      <w:r w:rsidRPr="00487348">
        <w:rPr>
          <w:rFonts w:ascii="Arial" w:hAnsi="Arial" w:cs="Arial"/>
          <w:color w:val="010000"/>
          <w:sz w:val="20"/>
        </w:rPr>
        <w:t xml:space="preserve">main targets of the financial plan 2024 so that the Executive Board assigns the plan to </w:t>
      </w:r>
      <w:proofErr w:type="spellStart"/>
      <w:r w:rsidRPr="00487348">
        <w:rPr>
          <w:rFonts w:ascii="Arial" w:hAnsi="Arial" w:cs="Arial"/>
          <w:color w:val="010000"/>
          <w:sz w:val="20"/>
        </w:rPr>
        <w:t>Daklaoruco</w:t>
      </w:r>
      <w:proofErr w:type="spellEnd"/>
      <w:r w:rsidRPr="00487348">
        <w:rPr>
          <w:rFonts w:ascii="Arial" w:hAnsi="Arial" w:cs="Arial"/>
          <w:color w:val="010000"/>
          <w:sz w:val="20"/>
        </w:rPr>
        <w:t xml:space="preserve"> and DRI High-Tech Agriculture Limited Company. The official plan will be decided at the Annual General Meeting of Shareholders 2024. The temporary assignment plan is specifically as follows:</w:t>
      </w:r>
    </w:p>
    <w:p w14:paraId="5900EC01" w14:textId="77777777" w:rsidR="00927F23" w:rsidRPr="00487348" w:rsidRDefault="00810F8F" w:rsidP="00810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4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Volume target:</w:t>
      </w: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4253"/>
        <w:gridCol w:w="4776"/>
      </w:tblGrid>
      <w:tr w:rsidR="00927F23" w:rsidRPr="00487348" w14:paraId="0526D600" w14:textId="77777777" w:rsidTr="00810F8F">
        <w:tc>
          <w:tcPr>
            <w:tcW w:w="5000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6AD981" w14:textId="77777777" w:rsidR="00927F23" w:rsidRPr="00487348" w:rsidRDefault="00810F8F" w:rsidP="00810F8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 xml:space="preserve"> Management area:</w:t>
            </w:r>
          </w:p>
        </w:tc>
      </w:tr>
      <w:tr w:rsidR="00927F23" w:rsidRPr="00487348" w14:paraId="0C59D26F" w14:textId="77777777" w:rsidTr="00810F8F">
        <w:tc>
          <w:tcPr>
            <w:tcW w:w="2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C70F4" w14:textId="44D685DC" w:rsidR="00927F23" w:rsidRPr="00487348" w:rsidRDefault="00810F8F" w:rsidP="00810F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Total rubber area:</w:t>
            </w:r>
          </w:p>
        </w:tc>
        <w:tc>
          <w:tcPr>
            <w:tcW w:w="2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B607E6" w14:textId="61546B19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8,592.3 ha, in which:</w:t>
            </w:r>
          </w:p>
        </w:tc>
      </w:tr>
      <w:tr w:rsidR="00927F23" w:rsidRPr="00487348" w14:paraId="74B6C69A" w14:textId="77777777" w:rsidTr="00810F8F">
        <w:tc>
          <w:tcPr>
            <w:tcW w:w="2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A9190" w14:textId="74DA2D66" w:rsidR="00927F23" w:rsidRPr="00487348" w:rsidRDefault="00810F8F" w:rsidP="00810F8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Exploitation area:</w:t>
            </w:r>
          </w:p>
        </w:tc>
        <w:tc>
          <w:tcPr>
            <w:tcW w:w="2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F25B7" w14:textId="7EF971C2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8,299.83 ha;</w:t>
            </w:r>
          </w:p>
        </w:tc>
      </w:tr>
      <w:tr w:rsidR="00927F23" w:rsidRPr="00487348" w14:paraId="5CA61353" w14:textId="77777777" w:rsidTr="00810F8F">
        <w:tc>
          <w:tcPr>
            <w:tcW w:w="2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EDFC28" w14:textId="710C9225" w:rsidR="00927F23" w:rsidRPr="00487348" w:rsidRDefault="00810F8F" w:rsidP="00810F8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Area of vegetative phase:</w:t>
            </w:r>
          </w:p>
        </w:tc>
        <w:tc>
          <w:tcPr>
            <w:tcW w:w="2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EF47E6" w14:textId="61062C18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 xml:space="preserve">292.47 </w:t>
            </w:r>
            <w:proofErr w:type="gramStart"/>
            <w:r w:rsidRPr="00487348">
              <w:rPr>
                <w:rFonts w:ascii="Arial" w:hAnsi="Arial" w:cs="Arial"/>
                <w:color w:val="010000"/>
                <w:sz w:val="20"/>
              </w:rPr>
              <w:t>ha</w:t>
            </w:r>
            <w:proofErr w:type="gramEnd"/>
            <w:r w:rsidRPr="00487348">
              <w:rPr>
                <w:rFonts w:ascii="Arial" w:hAnsi="Arial" w:cs="Arial"/>
                <w:color w:val="010000"/>
                <w:sz w:val="20"/>
              </w:rPr>
              <w:t>.</w:t>
            </w:r>
          </w:p>
        </w:tc>
      </w:tr>
      <w:tr w:rsidR="00927F23" w:rsidRPr="00487348" w14:paraId="7FC7C909" w14:textId="77777777" w:rsidTr="00810F8F">
        <w:tc>
          <w:tcPr>
            <w:tcW w:w="2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05002" w14:textId="2FB143D3" w:rsidR="00927F23" w:rsidRPr="00487348" w:rsidRDefault="00810F8F" w:rsidP="00810F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Cashew tree area:</w:t>
            </w:r>
          </w:p>
        </w:tc>
        <w:tc>
          <w:tcPr>
            <w:tcW w:w="2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4A5C68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501.8 ha</w:t>
            </w:r>
          </w:p>
        </w:tc>
      </w:tr>
      <w:tr w:rsidR="00927F23" w:rsidRPr="00487348" w14:paraId="3ECDCB29" w14:textId="77777777" w:rsidTr="00810F8F">
        <w:tc>
          <w:tcPr>
            <w:tcW w:w="23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785482" w14:textId="0A4F8B75" w:rsidR="00927F23" w:rsidRPr="00487348" w:rsidRDefault="00810F8F" w:rsidP="00810F8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Area of eucalyptus trees and nurseries:</w:t>
            </w:r>
          </w:p>
        </w:tc>
        <w:tc>
          <w:tcPr>
            <w:tcW w:w="26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ECAFA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13.35 ha</w:t>
            </w:r>
          </w:p>
        </w:tc>
      </w:tr>
    </w:tbl>
    <w:p w14:paraId="77F7C4C6" w14:textId="4A374830" w:rsidR="00927F23" w:rsidRPr="00487348" w:rsidRDefault="006D2FE0" w:rsidP="00810F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Plantation</w:t>
      </w:r>
      <w:r w:rsidR="00810F8F" w:rsidRPr="00487348">
        <w:rPr>
          <w:rFonts w:ascii="Arial" w:hAnsi="Arial" w:cs="Arial"/>
          <w:color w:val="010000"/>
          <w:sz w:val="20"/>
        </w:rPr>
        <w:t xml:space="preserve"> area at DRI High-Tech Agriculture Limited Company: 142.17 ha</w:t>
      </w:r>
    </w:p>
    <w:p w14:paraId="7744DACF" w14:textId="77777777" w:rsidR="00927F23" w:rsidRPr="00487348" w:rsidRDefault="00810F8F" w:rsidP="00810F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Regarding exploited and harvested products:</w:t>
      </w:r>
    </w:p>
    <w:p w14:paraId="278B3335" w14:textId="77777777" w:rsidR="00927F23" w:rsidRPr="00487348" w:rsidRDefault="00810F8F" w:rsidP="0081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Latex products: 14,000 tons; Average productivity reaches 1.69 tons/ha;</w:t>
      </w:r>
    </w:p>
    <w:p w14:paraId="22384369" w14:textId="77777777" w:rsidR="00927F23" w:rsidRPr="00487348" w:rsidRDefault="00810F8F" w:rsidP="0081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Cashew output: 137 tons of fresh fruit; Average productivity reaches 270 kg/ha;</w:t>
      </w:r>
    </w:p>
    <w:p w14:paraId="637ECDBD" w14:textId="77777777" w:rsidR="00927F23" w:rsidRPr="00487348" w:rsidRDefault="00810F8F" w:rsidP="0081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Banana output: 655.5 tons; Average productivity reaches 20kg/bunch;</w:t>
      </w:r>
    </w:p>
    <w:p w14:paraId="12A7A727" w14:textId="77777777" w:rsidR="00927F23" w:rsidRPr="00487348" w:rsidRDefault="00810F8F" w:rsidP="0081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Durian output: 300 tons; Average productivity reaches 40kg/tree;</w:t>
      </w:r>
    </w:p>
    <w:p w14:paraId="44C42E54" w14:textId="77777777" w:rsidR="00927F23" w:rsidRPr="00487348" w:rsidRDefault="00810F8F" w:rsidP="00810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6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Value target:</w:t>
      </w:r>
    </w:p>
    <w:p w14:paraId="353217F8" w14:textId="77777777" w:rsidR="00927F23" w:rsidRPr="00487348" w:rsidRDefault="00810F8F" w:rsidP="00810F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Average selling price and product cost:</w:t>
      </w:r>
    </w:p>
    <w:p w14:paraId="5DCE5B8F" w14:textId="77777777" w:rsidR="00927F23" w:rsidRPr="00487348" w:rsidRDefault="00810F8F" w:rsidP="0081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Rubber:</w:t>
      </w:r>
    </w:p>
    <w:p w14:paraId="509B6E51" w14:textId="77777777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Consumption output: 14,000 tons;</w:t>
      </w:r>
    </w:p>
    <w:p w14:paraId="75E3EC72" w14:textId="77777777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Average selling price: VND 34.56 million/ton (USD 1,440/ton);</w:t>
      </w:r>
    </w:p>
    <w:p w14:paraId="43F2B525" w14:textId="17733FF3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Cost of goods sold: VND 30</w:t>
      </w:r>
      <w:r w:rsidR="00060AA1" w:rsidRPr="00487348">
        <w:rPr>
          <w:rFonts w:ascii="Arial" w:hAnsi="Arial" w:cs="Arial"/>
          <w:color w:val="010000"/>
          <w:sz w:val="20"/>
        </w:rPr>
        <w:t>.</w:t>
      </w:r>
      <w:r w:rsidRPr="00487348">
        <w:rPr>
          <w:rFonts w:ascii="Arial" w:hAnsi="Arial" w:cs="Arial"/>
          <w:color w:val="010000"/>
          <w:sz w:val="20"/>
        </w:rPr>
        <w:t>336 million/ton (USD 1,264/ton);</w:t>
      </w:r>
    </w:p>
    <w:p w14:paraId="511C1D4A" w14:textId="77777777" w:rsidR="00927F23" w:rsidRPr="00487348" w:rsidRDefault="00810F8F" w:rsidP="0081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Cashew:</w:t>
      </w:r>
    </w:p>
    <w:p w14:paraId="3E9C7959" w14:textId="77777777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Average selling price: VND 20.70 million/ton (USD 1,000/ton);</w:t>
      </w:r>
    </w:p>
    <w:p w14:paraId="13E82087" w14:textId="49F7D3A0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Cost of goods sold: VND 21</w:t>
      </w:r>
      <w:r w:rsidR="00060AA1" w:rsidRPr="00487348">
        <w:rPr>
          <w:rFonts w:ascii="Arial" w:hAnsi="Arial" w:cs="Arial"/>
          <w:color w:val="010000"/>
          <w:sz w:val="20"/>
        </w:rPr>
        <w:t>.</w:t>
      </w:r>
      <w:r w:rsidRPr="00487348">
        <w:rPr>
          <w:rFonts w:ascii="Arial" w:hAnsi="Arial" w:cs="Arial"/>
          <w:color w:val="010000"/>
          <w:sz w:val="20"/>
        </w:rPr>
        <w:t>527 million/ton (USD 1,040/ton);</w:t>
      </w:r>
    </w:p>
    <w:p w14:paraId="4B34A2AD" w14:textId="77777777" w:rsidR="00927F23" w:rsidRPr="00487348" w:rsidRDefault="00810F8F" w:rsidP="0081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Banana:</w:t>
      </w:r>
    </w:p>
    <w:p w14:paraId="3D519333" w14:textId="77777777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Average selling price: VND 3.0 million/ton;</w:t>
      </w:r>
    </w:p>
    <w:p w14:paraId="7D88E8E2" w14:textId="77777777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lastRenderedPageBreak/>
        <w:t>Cost of goods sold: VND 4.352 million/ton;</w:t>
      </w:r>
    </w:p>
    <w:p w14:paraId="085B32BF" w14:textId="77777777" w:rsidR="00927F23" w:rsidRPr="00487348" w:rsidRDefault="00810F8F" w:rsidP="0081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Durian:</w:t>
      </w:r>
    </w:p>
    <w:p w14:paraId="2DB67A9E" w14:textId="77777777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Average selling price: VND 50.00 million/ton;</w:t>
      </w:r>
    </w:p>
    <w:p w14:paraId="4C8ABFD6" w14:textId="77777777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Cost of goods sold: VND 34.759 million/ton;</w:t>
      </w:r>
    </w:p>
    <w:p w14:paraId="01EE56AD" w14:textId="77777777" w:rsidR="00927F23" w:rsidRPr="00487348" w:rsidRDefault="00810F8F" w:rsidP="00810F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2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Revenue, expenses, dividend payment:</w:t>
      </w:r>
    </w:p>
    <w:p w14:paraId="2F7FEDD6" w14:textId="77777777" w:rsidR="00927F23" w:rsidRPr="00487348" w:rsidRDefault="00810F8F" w:rsidP="0081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7"/>
          <w:tab w:val="left" w:pos="102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Total revenue and other income: VND 445,230 million;</w:t>
      </w:r>
    </w:p>
    <w:p w14:paraId="59D3ED0E" w14:textId="0C1CB7E6" w:rsidR="00927F23" w:rsidRPr="00487348" w:rsidRDefault="00810F8F" w:rsidP="00810F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Revenue from goods sales: VND 437,230 million</w:t>
      </w:r>
      <w:r w:rsidR="00060AA1" w:rsidRPr="00487348">
        <w:rPr>
          <w:rFonts w:ascii="Arial" w:hAnsi="Arial" w:cs="Arial"/>
          <w:color w:val="010000"/>
          <w:sz w:val="20"/>
        </w:rPr>
        <w:t>.</w:t>
      </w:r>
      <w:r w:rsidRPr="00487348">
        <w:rPr>
          <w:rFonts w:ascii="Arial" w:hAnsi="Arial" w:cs="Arial"/>
          <w:color w:val="010000"/>
          <w:sz w:val="20"/>
        </w:rPr>
        <w:t xml:space="preserve"> In which: Rubber: VND 417,427 million;</w:t>
      </w:r>
    </w:p>
    <w:p w14:paraId="323A196A" w14:textId="77777777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Cashew: VND 2,835 million: Banana: VND 1,966 million; Durian: VND 15,000 million.</w:t>
      </w:r>
    </w:p>
    <w:p w14:paraId="79EDBD7D" w14:textId="77777777" w:rsidR="00927F23" w:rsidRPr="00487348" w:rsidRDefault="00810F8F" w:rsidP="00810F8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020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Financial revenue and other income: VND 8,000 million.</w:t>
      </w:r>
    </w:p>
    <w:p w14:paraId="308B5747" w14:textId="1D17A6CF" w:rsidR="00927F23" w:rsidRPr="00487348" w:rsidRDefault="00810F8F" w:rsidP="0081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5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Total expenses: VND 388,196 </w:t>
      </w:r>
      <w:r w:rsidR="00060AA1" w:rsidRPr="00487348">
        <w:rPr>
          <w:rFonts w:ascii="Arial" w:hAnsi="Arial" w:cs="Arial"/>
          <w:color w:val="010000"/>
          <w:sz w:val="20"/>
        </w:rPr>
        <w:t>million</w:t>
      </w:r>
      <w:r w:rsidRPr="00487348">
        <w:rPr>
          <w:rFonts w:ascii="Arial" w:hAnsi="Arial" w:cs="Arial"/>
          <w:color w:val="010000"/>
          <w:sz w:val="20"/>
        </w:rPr>
        <w:t>, in which:</w:t>
      </w:r>
    </w:p>
    <w:p w14:paraId="6CA003CD" w14:textId="77777777" w:rsidR="00927F23" w:rsidRPr="00487348" w:rsidRDefault="00810F8F" w:rsidP="00810F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Rubber expenses: VND 371,966 million</w:t>
      </w:r>
    </w:p>
    <w:p w14:paraId="51BEB47A" w14:textId="77777777" w:rsidR="00927F23" w:rsidRPr="00487348" w:rsidRDefault="00810F8F" w:rsidP="00810F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Cashew expenses: VND 2,949 million</w:t>
      </w:r>
    </w:p>
    <w:p w14:paraId="1C1E8078" w14:textId="77777777" w:rsidR="00927F23" w:rsidRPr="00487348" w:rsidRDefault="00810F8F" w:rsidP="00810F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Banana expenses: VND 2,853 million</w:t>
      </w:r>
    </w:p>
    <w:p w14:paraId="59332E65" w14:textId="77777777" w:rsidR="00927F23" w:rsidRPr="00487348" w:rsidRDefault="00810F8F" w:rsidP="00810F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Durian expenses: VND 10,427 million</w:t>
      </w:r>
    </w:p>
    <w:p w14:paraId="1B87B861" w14:textId="77777777" w:rsidR="00927F23" w:rsidRPr="00487348" w:rsidRDefault="00810F8F" w:rsidP="0081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Consolidated profit before tax: VND 57,034 million;</w:t>
      </w:r>
    </w:p>
    <w:p w14:paraId="40B912FE" w14:textId="77777777" w:rsidR="00927F23" w:rsidRPr="00487348" w:rsidRDefault="00810F8F" w:rsidP="0081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Expected profit after tax: VND 46,729 million;</w:t>
      </w:r>
    </w:p>
    <w:p w14:paraId="171A6521" w14:textId="77777777" w:rsidR="00927F23" w:rsidRPr="00487348" w:rsidRDefault="00810F8F" w:rsidP="0081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Latex export rate: 65% of the total amount of goods sold</w:t>
      </w:r>
    </w:p>
    <w:p w14:paraId="6AA66812" w14:textId="77777777" w:rsidR="00927F23" w:rsidRPr="00487348" w:rsidRDefault="00810F8F" w:rsidP="0081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1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Dividend payment rate in 2024: 5% of the charter capital.</w:t>
      </w:r>
    </w:p>
    <w:p w14:paraId="0CF36684" w14:textId="77777777" w:rsidR="00927F23" w:rsidRPr="00487348" w:rsidRDefault="00810F8F" w:rsidP="00810F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6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Investment target:</w:t>
      </w:r>
    </w:p>
    <w:p w14:paraId="70B07F9C" w14:textId="40FE00B9" w:rsidR="00927F23" w:rsidRPr="00487348" w:rsidRDefault="00810F8F" w:rsidP="0081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8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Investment in </w:t>
      </w:r>
      <w:r w:rsidR="006D2FE0" w:rsidRPr="00487348">
        <w:rPr>
          <w:rFonts w:ascii="Arial" w:hAnsi="Arial" w:cs="Arial"/>
          <w:color w:val="010000"/>
          <w:sz w:val="20"/>
        </w:rPr>
        <w:t>plantation</w:t>
      </w:r>
      <w:r w:rsidRPr="00487348">
        <w:rPr>
          <w:rFonts w:ascii="Arial" w:hAnsi="Arial" w:cs="Arial"/>
          <w:color w:val="010000"/>
          <w:sz w:val="20"/>
        </w:rPr>
        <w:t xml:space="preserve"> </w:t>
      </w:r>
      <w:r w:rsidR="00487348" w:rsidRPr="00487348">
        <w:rPr>
          <w:rFonts w:ascii="Arial" w:hAnsi="Arial" w:cs="Arial"/>
          <w:color w:val="010000"/>
          <w:sz w:val="20"/>
        </w:rPr>
        <w:t xml:space="preserve">in </w:t>
      </w:r>
      <w:r w:rsidRPr="00487348">
        <w:rPr>
          <w:rFonts w:ascii="Arial" w:hAnsi="Arial" w:cs="Arial"/>
          <w:color w:val="010000"/>
          <w:sz w:val="20"/>
        </w:rPr>
        <w:t>vegetative phase: VND 9,686.155 million (in which, rubber: VND 3,812.46 million; durian: VND 5,873.69 million</w:t>
      </w:r>
      <w:r w:rsidR="00487348" w:rsidRPr="00487348">
        <w:rPr>
          <w:rFonts w:ascii="Arial" w:hAnsi="Arial" w:cs="Arial"/>
          <w:color w:val="010000"/>
          <w:sz w:val="20"/>
        </w:rPr>
        <w:t>;</w:t>
      </w:r>
      <w:r w:rsidRPr="00487348">
        <w:rPr>
          <w:rFonts w:ascii="Arial" w:hAnsi="Arial" w:cs="Arial"/>
          <w:color w:val="010000"/>
          <w:sz w:val="20"/>
        </w:rPr>
        <w:t xml:space="preserve"> equivalent to 292.47 hectares of rubber</w:t>
      </w:r>
      <w:r w:rsidR="00487348" w:rsidRPr="00487348">
        <w:rPr>
          <w:rFonts w:ascii="Arial" w:hAnsi="Arial" w:cs="Arial"/>
          <w:color w:val="010000"/>
          <w:sz w:val="20"/>
        </w:rPr>
        <w:t xml:space="preserve"> in vegetative phase</w:t>
      </w:r>
      <w:r w:rsidRPr="00487348">
        <w:rPr>
          <w:rFonts w:ascii="Arial" w:hAnsi="Arial" w:cs="Arial"/>
          <w:color w:val="010000"/>
          <w:sz w:val="20"/>
        </w:rPr>
        <w:t xml:space="preserve">, average investment expenses of VND 13,035,400/ha of rubber; </w:t>
      </w:r>
      <w:r w:rsidR="00487348" w:rsidRPr="00487348">
        <w:rPr>
          <w:rFonts w:ascii="Arial" w:hAnsi="Arial" w:cs="Arial"/>
          <w:color w:val="010000"/>
          <w:sz w:val="20"/>
        </w:rPr>
        <w:t>and</w:t>
      </w:r>
      <w:r w:rsidRPr="00487348">
        <w:rPr>
          <w:rFonts w:ascii="Arial" w:hAnsi="Arial" w:cs="Arial"/>
          <w:color w:val="010000"/>
          <w:sz w:val="20"/>
        </w:rPr>
        <w:t xml:space="preserve"> 66.64 hectares of </w:t>
      </w:r>
      <w:r w:rsidR="00487348" w:rsidRPr="00487348">
        <w:rPr>
          <w:rFonts w:ascii="Arial" w:hAnsi="Arial" w:cs="Arial"/>
          <w:color w:val="010000"/>
          <w:sz w:val="20"/>
        </w:rPr>
        <w:t xml:space="preserve">durian in </w:t>
      </w:r>
      <w:r w:rsidRPr="00487348">
        <w:rPr>
          <w:rFonts w:ascii="Arial" w:hAnsi="Arial" w:cs="Arial"/>
          <w:color w:val="010000"/>
          <w:sz w:val="20"/>
        </w:rPr>
        <w:t xml:space="preserve">vegetative phase </w:t>
      </w:r>
      <w:r w:rsidR="00487348" w:rsidRPr="00487348">
        <w:rPr>
          <w:rFonts w:ascii="Arial" w:hAnsi="Arial" w:cs="Arial"/>
          <w:color w:val="010000"/>
          <w:sz w:val="20"/>
        </w:rPr>
        <w:t>(4</w:t>
      </w:r>
      <w:r w:rsidR="00487348" w:rsidRPr="00487348">
        <w:rPr>
          <w:rFonts w:ascii="Arial" w:hAnsi="Arial" w:cs="Arial"/>
          <w:color w:val="010000"/>
          <w:sz w:val="20"/>
          <w:vertAlign w:val="superscript"/>
        </w:rPr>
        <w:t>th</w:t>
      </w:r>
      <w:r w:rsidR="00487348" w:rsidRPr="00487348">
        <w:rPr>
          <w:rFonts w:ascii="Arial" w:hAnsi="Arial" w:cs="Arial"/>
          <w:color w:val="010000"/>
          <w:sz w:val="20"/>
        </w:rPr>
        <w:t xml:space="preserve"> year)</w:t>
      </w:r>
      <w:r w:rsidRPr="00487348">
        <w:rPr>
          <w:rFonts w:ascii="Arial" w:hAnsi="Arial" w:cs="Arial"/>
          <w:color w:val="010000"/>
          <w:sz w:val="20"/>
        </w:rPr>
        <w:t xml:space="preserve"> </w:t>
      </w:r>
      <w:r w:rsidR="00487348" w:rsidRPr="00487348">
        <w:rPr>
          <w:rFonts w:ascii="Arial" w:hAnsi="Arial" w:cs="Arial"/>
          <w:color w:val="010000"/>
          <w:sz w:val="20"/>
        </w:rPr>
        <w:t>at</w:t>
      </w:r>
      <w:r w:rsidRPr="00487348">
        <w:rPr>
          <w:rFonts w:ascii="Arial" w:hAnsi="Arial" w:cs="Arial"/>
          <w:color w:val="010000"/>
          <w:sz w:val="20"/>
        </w:rPr>
        <w:t xml:space="preserve"> VND 94,353,467/ha).</w:t>
      </w:r>
    </w:p>
    <w:p w14:paraId="3E1C8393" w14:textId="77777777" w:rsidR="00927F23" w:rsidRPr="00487348" w:rsidRDefault="00810F8F" w:rsidP="0081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Capital construction investment: VND 23,883,808,112, in which: DRI High-Tech Agriculture Limited Company: VND 855,155,400, </w:t>
      </w:r>
      <w:proofErr w:type="spellStart"/>
      <w:r w:rsidRPr="00487348">
        <w:rPr>
          <w:rFonts w:ascii="Arial" w:hAnsi="Arial" w:cs="Arial"/>
          <w:color w:val="010000"/>
          <w:sz w:val="20"/>
        </w:rPr>
        <w:t>Daklaoruco</w:t>
      </w:r>
      <w:proofErr w:type="spellEnd"/>
      <w:r w:rsidRPr="00487348">
        <w:rPr>
          <w:rFonts w:ascii="Arial" w:hAnsi="Arial" w:cs="Arial"/>
          <w:color w:val="010000"/>
          <w:sz w:val="20"/>
        </w:rPr>
        <w:t>: VND 21,416,600,000, and DRI Office: VND 1,612,022,712.</w:t>
      </w:r>
    </w:p>
    <w:p w14:paraId="66F07AA3" w14:textId="6B6E82EF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Article 6: Approve the roadmap for liquidation and replanting of rubber </w:t>
      </w:r>
      <w:r w:rsidR="006D2FE0" w:rsidRPr="00487348">
        <w:rPr>
          <w:rFonts w:ascii="Arial" w:hAnsi="Arial" w:cs="Arial"/>
          <w:color w:val="010000"/>
          <w:sz w:val="20"/>
        </w:rPr>
        <w:t>plantation</w:t>
      </w:r>
      <w:r w:rsidRPr="00487348">
        <w:rPr>
          <w:rFonts w:ascii="Arial" w:hAnsi="Arial" w:cs="Arial"/>
          <w:color w:val="010000"/>
          <w:sz w:val="20"/>
        </w:rPr>
        <w:t>s to submit to the Annual General Meeting of Shareholders 2024 according to Proposal No. 22/</w:t>
      </w:r>
      <w:proofErr w:type="spellStart"/>
      <w:r w:rsidRPr="00487348">
        <w:rPr>
          <w:rFonts w:ascii="Arial" w:hAnsi="Arial" w:cs="Arial"/>
          <w:color w:val="010000"/>
          <w:sz w:val="20"/>
        </w:rPr>
        <w:t>TTr</w:t>
      </w:r>
      <w:proofErr w:type="spellEnd"/>
      <w:r w:rsidRPr="00487348">
        <w:rPr>
          <w:rFonts w:ascii="Arial" w:hAnsi="Arial" w:cs="Arial"/>
          <w:color w:val="010000"/>
          <w:sz w:val="20"/>
        </w:rPr>
        <w:t>-CT dated December 25, 2023 of the DRI General Manager.</w:t>
      </w:r>
    </w:p>
    <w:p w14:paraId="329DB00F" w14:textId="5FAA8F1A" w:rsidR="00927F23" w:rsidRPr="00487348" w:rsidRDefault="00810F8F" w:rsidP="0081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7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Change the </w:t>
      </w:r>
      <w:r w:rsidR="006D2FE0" w:rsidRPr="00487348">
        <w:rPr>
          <w:rFonts w:ascii="Arial" w:hAnsi="Arial" w:cs="Arial"/>
          <w:color w:val="010000"/>
          <w:sz w:val="20"/>
        </w:rPr>
        <w:t>plantation</w:t>
      </w:r>
      <w:r w:rsidRPr="00487348">
        <w:rPr>
          <w:rFonts w:ascii="Arial" w:hAnsi="Arial" w:cs="Arial"/>
          <w:color w:val="010000"/>
          <w:sz w:val="20"/>
        </w:rPr>
        <w:t xml:space="preserve"> area planned for replanting from 3,971.36 hectares to 4,081.64 hectares.</w:t>
      </w:r>
    </w:p>
    <w:p w14:paraId="6677F80D" w14:textId="77777777" w:rsidR="00927F23" w:rsidRPr="00487348" w:rsidRDefault="00810F8F" w:rsidP="00810F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Change the replanting roadmap from 2023 to 2029 to a new roadmap starting from 2025 to 2032. Specifically:</w:t>
      </w:r>
    </w:p>
    <w:tbl>
      <w:tblPr>
        <w:tblStyle w:val="a1"/>
        <w:tblW w:w="5000" w:type="pct"/>
        <w:tblLook w:val="0000" w:firstRow="0" w:lastRow="0" w:firstColumn="0" w:lastColumn="0" w:noHBand="0" w:noVBand="0"/>
      </w:tblPr>
      <w:tblGrid>
        <w:gridCol w:w="652"/>
        <w:gridCol w:w="1178"/>
        <w:gridCol w:w="1438"/>
        <w:gridCol w:w="1434"/>
        <w:gridCol w:w="1441"/>
        <w:gridCol w:w="1429"/>
        <w:gridCol w:w="1447"/>
      </w:tblGrid>
      <w:tr w:rsidR="00927F23" w:rsidRPr="00487348" w14:paraId="6FBACA07" w14:textId="77777777" w:rsidTr="00810F8F"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740B4D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25720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Year of replanting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352B69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Area</w:t>
            </w:r>
          </w:p>
        </w:tc>
        <w:tc>
          <w:tcPr>
            <w:tcW w:w="3188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F2B3E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</w:tr>
      <w:tr w:rsidR="00927F23" w:rsidRPr="00487348" w14:paraId="38106121" w14:textId="77777777" w:rsidTr="00810F8F"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E56CF2" w14:textId="77777777" w:rsidR="00927F23" w:rsidRPr="00487348" w:rsidRDefault="00927F23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16A3C" w14:textId="77777777" w:rsidR="00927F23" w:rsidRPr="00487348" w:rsidRDefault="00927F23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57668" w14:textId="77777777" w:rsidR="00927F23" w:rsidRPr="00487348" w:rsidRDefault="00927F23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C623B" w14:textId="3E663452" w:rsidR="00927F23" w:rsidRPr="00487348" w:rsidRDefault="00487348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1</w:t>
            </w:r>
            <w:r w:rsidRPr="00487348">
              <w:rPr>
                <w:rFonts w:ascii="Arial" w:hAnsi="Arial" w:cs="Arial"/>
                <w:color w:val="010000"/>
                <w:sz w:val="20"/>
                <w:vertAlign w:val="superscript"/>
              </w:rPr>
              <w:t>st</w:t>
            </w:r>
            <w:r w:rsidRPr="00487348">
              <w:rPr>
                <w:rFonts w:ascii="Arial" w:hAnsi="Arial" w:cs="Arial"/>
                <w:color w:val="010000"/>
                <w:sz w:val="20"/>
              </w:rPr>
              <w:t xml:space="preserve"> year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11B04" w14:textId="3E173B3E" w:rsidR="00927F23" w:rsidRPr="00487348" w:rsidRDefault="00487348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</w:t>
            </w:r>
            <w:r w:rsidRPr="00487348">
              <w:rPr>
                <w:rFonts w:ascii="Arial" w:hAnsi="Arial" w:cs="Arial"/>
                <w:color w:val="010000"/>
                <w:sz w:val="20"/>
                <w:vertAlign w:val="superscript"/>
              </w:rPr>
              <w:t>nd</w:t>
            </w:r>
            <w:r w:rsidRPr="00487348">
              <w:rPr>
                <w:rFonts w:ascii="Arial" w:hAnsi="Arial" w:cs="Arial"/>
                <w:color w:val="010000"/>
                <w:sz w:val="20"/>
              </w:rPr>
              <w:t xml:space="preserve"> year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466163" w14:textId="5D88B88C" w:rsidR="00927F23" w:rsidRPr="00487348" w:rsidRDefault="00487348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3</w:t>
            </w:r>
            <w:r w:rsidRPr="00487348">
              <w:rPr>
                <w:rFonts w:ascii="Arial" w:hAnsi="Arial" w:cs="Arial"/>
                <w:color w:val="010000"/>
                <w:sz w:val="20"/>
                <w:vertAlign w:val="superscript"/>
              </w:rPr>
              <w:t>rd</w:t>
            </w:r>
            <w:r w:rsidRPr="00487348">
              <w:rPr>
                <w:rFonts w:ascii="Arial" w:hAnsi="Arial" w:cs="Arial"/>
                <w:color w:val="010000"/>
                <w:sz w:val="20"/>
              </w:rPr>
              <w:t xml:space="preserve"> year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12F365" w14:textId="48137484" w:rsidR="00927F23" w:rsidRPr="00487348" w:rsidRDefault="00487348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4</w:t>
            </w:r>
            <w:r w:rsidRPr="00487348">
              <w:rPr>
                <w:rFonts w:ascii="Arial" w:hAnsi="Arial" w:cs="Arial"/>
                <w:color w:val="010000"/>
                <w:sz w:val="20"/>
                <w:vertAlign w:val="superscript"/>
              </w:rPr>
              <w:t>th</w:t>
            </w:r>
            <w:r w:rsidRPr="00487348">
              <w:rPr>
                <w:rFonts w:ascii="Arial" w:hAnsi="Arial" w:cs="Arial"/>
                <w:color w:val="010000"/>
                <w:sz w:val="20"/>
              </w:rPr>
              <w:t xml:space="preserve"> year</w:t>
            </w:r>
          </w:p>
        </w:tc>
      </w:tr>
      <w:tr w:rsidR="00927F23" w:rsidRPr="00487348" w14:paraId="08FDE8F3" w14:textId="77777777" w:rsidTr="00810F8F">
        <w:tc>
          <w:tcPr>
            <w:tcW w:w="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AF724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81D36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2025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56122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94.55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C17E4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94.55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7D44B1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C1235A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76007F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927F23" w:rsidRPr="00487348" w14:paraId="7C0A5959" w14:textId="77777777" w:rsidTr="00810F8F">
        <w:tc>
          <w:tcPr>
            <w:tcW w:w="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DE5978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B03FE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2026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51858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285.12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339F1E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190.80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C0FC1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94.32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A50807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31AEC4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927F23" w:rsidRPr="00487348" w14:paraId="31B2ADDF" w14:textId="77777777" w:rsidTr="00810F8F">
        <w:tc>
          <w:tcPr>
            <w:tcW w:w="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2A012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3AC61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2027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8D6E9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352.84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698209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206.84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E617F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146.00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F10E3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97C6CE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927F23" w:rsidRPr="00487348" w14:paraId="50926F78" w14:textId="77777777" w:rsidTr="00810F8F">
        <w:tc>
          <w:tcPr>
            <w:tcW w:w="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5001B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1D935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2028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6B872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667.63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AEC05B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239.31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16662E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175.63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5AEE1E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53.78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DD508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198.91</w:t>
            </w:r>
          </w:p>
        </w:tc>
      </w:tr>
      <w:tr w:rsidR="00927F23" w:rsidRPr="00487348" w14:paraId="5DEB9354" w14:textId="77777777" w:rsidTr="00810F8F">
        <w:tc>
          <w:tcPr>
            <w:tcW w:w="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B2716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A73E53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2029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ECD00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829.63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DB1A1E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202.77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5D5AF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217.58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34A74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202.99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2C209A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206.29</w:t>
            </w:r>
          </w:p>
        </w:tc>
      </w:tr>
      <w:tr w:rsidR="00927F23" w:rsidRPr="00487348" w14:paraId="5D1EAEF7" w14:textId="77777777" w:rsidTr="00810F8F">
        <w:tc>
          <w:tcPr>
            <w:tcW w:w="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FE01F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C5E09A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2030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63787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823.60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D3019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183.31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BB2B3E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218.46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69C40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194.39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551BF6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227.44</w:t>
            </w:r>
          </w:p>
        </w:tc>
      </w:tr>
      <w:tr w:rsidR="00927F23" w:rsidRPr="00487348" w14:paraId="7ACC3FE0" w14:textId="77777777" w:rsidTr="00810F8F">
        <w:tc>
          <w:tcPr>
            <w:tcW w:w="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B2AA5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FF1E0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2031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F1AFC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643.19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7AEBB8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B1D832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198.62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BFD4A6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231.40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4DC005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213.17</w:t>
            </w:r>
          </w:p>
        </w:tc>
      </w:tr>
      <w:tr w:rsidR="00927F23" w:rsidRPr="00487348" w14:paraId="50F47CCE" w14:textId="77777777" w:rsidTr="00810F8F">
        <w:tc>
          <w:tcPr>
            <w:tcW w:w="3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B8032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31AF8B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2032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835DF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385.08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785B3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10E1F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204.80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7C342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180.28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A8886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927F23" w:rsidRPr="00487348" w14:paraId="6780729A" w14:textId="77777777" w:rsidTr="00810F8F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64DC0D" w14:textId="77777777" w:rsidR="00927F23" w:rsidRPr="00487348" w:rsidRDefault="00927F23" w:rsidP="00810F8F">
            <w:pP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5ACA2C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0ABF98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4,081.64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4FA3E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1,117.58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0F610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1,255.41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4C9FF9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862.84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A1FD55" w14:textId="77777777" w:rsidR="00927F23" w:rsidRPr="00487348" w:rsidRDefault="00810F8F" w:rsidP="00810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87348">
              <w:rPr>
                <w:rFonts w:ascii="Arial" w:hAnsi="Arial" w:cs="Arial"/>
                <w:color w:val="010000"/>
                <w:sz w:val="20"/>
              </w:rPr>
              <w:t>845.81</w:t>
            </w:r>
          </w:p>
        </w:tc>
      </w:tr>
    </w:tbl>
    <w:p w14:paraId="45B97E26" w14:textId="77777777" w:rsidR="00927F23" w:rsidRPr="00487348" w:rsidRDefault="00810F8F" w:rsidP="00810F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The remaining areas, including the overlapping area of Dong Hua Sao National Park, will continue to be managed and exploited until the end of the land concession period.</w:t>
      </w:r>
    </w:p>
    <w:p w14:paraId="78294979" w14:textId="3331550C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Article 7: Approve settling 95% of the indirect salary fund in 2023 of DRI, </w:t>
      </w:r>
      <w:proofErr w:type="spellStart"/>
      <w:r w:rsidRPr="00487348">
        <w:rPr>
          <w:rFonts w:ascii="Arial" w:hAnsi="Arial" w:cs="Arial"/>
          <w:color w:val="010000"/>
          <w:sz w:val="20"/>
        </w:rPr>
        <w:t>Daklaoruco</w:t>
      </w:r>
      <w:proofErr w:type="spellEnd"/>
      <w:r w:rsidRPr="00487348">
        <w:rPr>
          <w:rFonts w:ascii="Arial" w:hAnsi="Arial" w:cs="Arial"/>
          <w:color w:val="010000"/>
          <w:sz w:val="20"/>
        </w:rPr>
        <w:t xml:space="preserve"> and DRI High-Tech Agriculture Limited Company according to Proposal No. 21/</w:t>
      </w:r>
      <w:proofErr w:type="spellStart"/>
      <w:r w:rsidRPr="00487348">
        <w:rPr>
          <w:rFonts w:ascii="Arial" w:hAnsi="Arial" w:cs="Arial"/>
          <w:color w:val="010000"/>
          <w:sz w:val="20"/>
        </w:rPr>
        <w:t>TTr</w:t>
      </w:r>
      <w:proofErr w:type="spellEnd"/>
      <w:r w:rsidRPr="00487348">
        <w:rPr>
          <w:rFonts w:ascii="Arial" w:hAnsi="Arial" w:cs="Arial"/>
          <w:color w:val="010000"/>
          <w:sz w:val="20"/>
        </w:rPr>
        <w:t>-CT dated December 25, 2023 of the DRI</w:t>
      </w:r>
      <w:r w:rsidR="00487348" w:rsidRPr="00487348">
        <w:rPr>
          <w:rFonts w:ascii="Arial" w:hAnsi="Arial" w:cs="Arial"/>
          <w:color w:val="010000"/>
          <w:sz w:val="20"/>
        </w:rPr>
        <w:t>’s</w:t>
      </w:r>
      <w:r w:rsidRPr="00487348">
        <w:rPr>
          <w:rFonts w:ascii="Arial" w:hAnsi="Arial" w:cs="Arial"/>
          <w:color w:val="010000"/>
          <w:sz w:val="20"/>
        </w:rPr>
        <w:t xml:space="preserve"> General Manager.</w:t>
      </w:r>
    </w:p>
    <w:p w14:paraId="62F4A6B5" w14:textId="77777777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‎‎Article 8. Implementation</w:t>
      </w:r>
    </w:p>
    <w:p w14:paraId="5EAC626A" w14:textId="6170B779" w:rsidR="00927F23" w:rsidRPr="00487348" w:rsidRDefault="00810F8F" w:rsidP="0081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Assign the DRI</w:t>
      </w:r>
      <w:r w:rsidR="00487348" w:rsidRPr="00487348">
        <w:rPr>
          <w:rFonts w:ascii="Arial" w:hAnsi="Arial" w:cs="Arial"/>
          <w:color w:val="010000"/>
          <w:sz w:val="20"/>
        </w:rPr>
        <w:t>’s</w:t>
      </w:r>
      <w:r w:rsidRPr="00487348">
        <w:rPr>
          <w:rFonts w:ascii="Arial" w:hAnsi="Arial" w:cs="Arial"/>
          <w:color w:val="010000"/>
          <w:sz w:val="20"/>
        </w:rPr>
        <w:t xml:space="preserve"> General Manage</w:t>
      </w:r>
      <w:r w:rsidR="00487348" w:rsidRPr="00487348">
        <w:rPr>
          <w:rFonts w:ascii="Arial" w:hAnsi="Arial" w:cs="Arial"/>
          <w:color w:val="010000"/>
          <w:sz w:val="20"/>
        </w:rPr>
        <w:t>r b</w:t>
      </w:r>
      <w:r w:rsidRPr="00487348">
        <w:rPr>
          <w:rFonts w:ascii="Arial" w:hAnsi="Arial" w:cs="Arial"/>
          <w:color w:val="010000"/>
          <w:sz w:val="20"/>
        </w:rPr>
        <w:t>ased on the contents in Articles 5 and 7 of this Resolution</w:t>
      </w:r>
      <w:r w:rsidR="00487348" w:rsidRPr="00487348">
        <w:rPr>
          <w:rFonts w:ascii="Arial" w:hAnsi="Arial" w:cs="Arial"/>
          <w:color w:val="010000"/>
          <w:sz w:val="20"/>
        </w:rPr>
        <w:t xml:space="preserve"> to</w:t>
      </w:r>
      <w:r w:rsidRPr="00487348">
        <w:rPr>
          <w:rFonts w:ascii="Arial" w:hAnsi="Arial" w:cs="Arial"/>
          <w:color w:val="010000"/>
          <w:sz w:val="20"/>
        </w:rPr>
        <w:t xml:space="preserve"> prepare a document assigning the financial plan 2024 and salary settlement in 2023 to DRI and </w:t>
      </w:r>
      <w:proofErr w:type="spellStart"/>
      <w:r w:rsidRPr="00487348">
        <w:rPr>
          <w:rFonts w:ascii="Arial" w:hAnsi="Arial" w:cs="Arial"/>
          <w:color w:val="010000"/>
          <w:sz w:val="20"/>
        </w:rPr>
        <w:t>Daklaoruco</w:t>
      </w:r>
      <w:proofErr w:type="spellEnd"/>
      <w:r w:rsidRPr="00487348">
        <w:rPr>
          <w:rFonts w:ascii="Arial" w:hAnsi="Arial" w:cs="Arial"/>
          <w:color w:val="010000"/>
          <w:sz w:val="20"/>
        </w:rPr>
        <w:t xml:space="preserve"> and </w:t>
      </w:r>
      <w:r w:rsidR="00487348" w:rsidRPr="00487348">
        <w:rPr>
          <w:rFonts w:ascii="Arial" w:hAnsi="Arial" w:cs="Arial"/>
          <w:color w:val="010000"/>
          <w:sz w:val="20"/>
        </w:rPr>
        <w:t>announce</w:t>
      </w:r>
      <w:r w:rsidRPr="00487348">
        <w:rPr>
          <w:rFonts w:ascii="Arial" w:hAnsi="Arial" w:cs="Arial"/>
          <w:color w:val="010000"/>
          <w:sz w:val="20"/>
        </w:rPr>
        <w:t xml:space="preserve"> assigning targets in 2024 and salary settlement in 2023 to DRI's Capital Representative at DRI High-Tech Agriculture Limited Company to vote at the Board of Members meeting of DRI High-Tech Agriculture Limited Company; at the same time, prepare a document directing subsidiaries on the solutions proposed by the Board of Directors in Article 2 of this Resolution.</w:t>
      </w:r>
    </w:p>
    <w:p w14:paraId="16487598" w14:textId="7E0F85EA" w:rsidR="00927F23" w:rsidRPr="00487348" w:rsidRDefault="00810F8F" w:rsidP="00810F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4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>The DRI</w:t>
      </w:r>
      <w:r w:rsidR="00487348" w:rsidRPr="00487348">
        <w:rPr>
          <w:rFonts w:ascii="Arial" w:hAnsi="Arial" w:cs="Arial"/>
          <w:color w:val="010000"/>
          <w:sz w:val="20"/>
        </w:rPr>
        <w:t>’s</w:t>
      </w:r>
      <w:r w:rsidRPr="00487348">
        <w:rPr>
          <w:rFonts w:ascii="Arial" w:hAnsi="Arial" w:cs="Arial"/>
          <w:color w:val="010000"/>
          <w:sz w:val="20"/>
        </w:rPr>
        <w:t xml:space="preserve"> General Manager, the Secretariat of the Board of Directors, the Capital Representative of DRI at DRI High-Tech Agriculture Limited Company and the Manager of </w:t>
      </w:r>
      <w:proofErr w:type="spellStart"/>
      <w:r w:rsidRPr="00487348">
        <w:rPr>
          <w:rFonts w:ascii="Arial" w:hAnsi="Arial" w:cs="Arial"/>
          <w:color w:val="010000"/>
          <w:sz w:val="20"/>
        </w:rPr>
        <w:t>Daklaoruco</w:t>
      </w:r>
      <w:proofErr w:type="spellEnd"/>
      <w:r w:rsidRPr="00487348">
        <w:rPr>
          <w:rFonts w:ascii="Arial" w:hAnsi="Arial" w:cs="Arial"/>
          <w:color w:val="010000"/>
          <w:sz w:val="20"/>
        </w:rPr>
        <w:t xml:space="preserve"> are responsible for implementing the contents of this Resolution.</w:t>
      </w:r>
    </w:p>
    <w:p w14:paraId="74D41012" w14:textId="77777777" w:rsidR="00927F23" w:rsidRPr="00487348" w:rsidRDefault="00810F8F" w:rsidP="00810F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87348">
        <w:rPr>
          <w:rFonts w:ascii="Arial" w:hAnsi="Arial" w:cs="Arial"/>
          <w:color w:val="010000"/>
          <w:sz w:val="20"/>
        </w:rPr>
        <w:t xml:space="preserve">This Resolution has been approved by the members of the Board of Directors of </w:t>
      </w:r>
      <w:proofErr w:type="spellStart"/>
      <w:r w:rsidRPr="00487348">
        <w:rPr>
          <w:rFonts w:ascii="Arial" w:hAnsi="Arial" w:cs="Arial"/>
          <w:color w:val="010000"/>
          <w:sz w:val="20"/>
        </w:rPr>
        <w:t>Dak</w:t>
      </w:r>
      <w:proofErr w:type="spellEnd"/>
      <w:r w:rsidRPr="00487348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487348">
        <w:rPr>
          <w:rFonts w:ascii="Arial" w:hAnsi="Arial" w:cs="Arial"/>
          <w:color w:val="010000"/>
          <w:sz w:val="20"/>
        </w:rPr>
        <w:t>Lak</w:t>
      </w:r>
      <w:proofErr w:type="spellEnd"/>
      <w:r w:rsidRPr="00487348">
        <w:rPr>
          <w:rFonts w:ascii="Arial" w:hAnsi="Arial" w:cs="Arial"/>
          <w:color w:val="010000"/>
          <w:sz w:val="20"/>
        </w:rPr>
        <w:t xml:space="preserve"> Rubber Investment Joint Stock Company and is valid and effective from the date of its signing for promulgation.</w:t>
      </w:r>
    </w:p>
    <w:sectPr w:rsidR="00927F23" w:rsidRPr="00487348" w:rsidSect="00810F8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660"/>
    <w:multiLevelType w:val="multilevel"/>
    <w:tmpl w:val="0E3C81EE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EF7195"/>
    <w:multiLevelType w:val="multilevel"/>
    <w:tmpl w:val="81CE57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6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2302217"/>
    <w:multiLevelType w:val="multilevel"/>
    <w:tmpl w:val="C7E2C1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27F0C07"/>
    <w:multiLevelType w:val="multilevel"/>
    <w:tmpl w:val="6E7AC15C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6780BD2"/>
    <w:multiLevelType w:val="multilevel"/>
    <w:tmpl w:val="5316DE3C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30E5C8A"/>
    <w:multiLevelType w:val="multilevel"/>
    <w:tmpl w:val="1F9284E4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682822AE"/>
    <w:multiLevelType w:val="multilevel"/>
    <w:tmpl w:val="AC7C7C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8FD6EF4"/>
    <w:multiLevelType w:val="multilevel"/>
    <w:tmpl w:val="CBBA41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0D77D4"/>
    <w:multiLevelType w:val="multilevel"/>
    <w:tmpl w:val="697E7B58"/>
    <w:lvl w:ilvl="0">
      <w:start w:val="1"/>
      <w:numFmt w:val="bullet"/>
      <w:lvlText w:val="+"/>
      <w:lvlJc w:val="left"/>
      <w:pPr>
        <w:ind w:left="702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42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D2025CE"/>
    <w:multiLevelType w:val="multilevel"/>
    <w:tmpl w:val="E7E24C0E"/>
    <w:lvl w:ilvl="0">
      <w:start w:val="1"/>
      <w:numFmt w:val="bullet"/>
      <w:lvlText w:val="+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3F13AEE"/>
    <w:multiLevelType w:val="multilevel"/>
    <w:tmpl w:val="A0A44C4E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81A5996"/>
    <w:multiLevelType w:val="multilevel"/>
    <w:tmpl w:val="5704A8F8"/>
    <w:lvl w:ilvl="0">
      <w:start w:val="1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AAA19E0"/>
    <w:multiLevelType w:val="multilevel"/>
    <w:tmpl w:val="92040BBA"/>
    <w:lvl w:ilvl="0">
      <w:start w:val="1"/>
      <w:numFmt w:val="bullet"/>
      <w:lvlText w:val="+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23"/>
    <w:rsid w:val="00060AA1"/>
    <w:rsid w:val="00487348"/>
    <w:rsid w:val="005B4F7A"/>
    <w:rsid w:val="006D2FE0"/>
    <w:rsid w:val="00810F8F"/>
    <w:rsid w:val="00927F23"/>
    <w:rsid w:val="009357B7"/>
    <w:rsid w:val="00D6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52CF9"/>
  <w15:docId w15:val="{CC4E7945-D85B-4E60-897F-E6752E3F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4ot0QZ6mcOyQnx3wqryxO9nBmQ==">CgMxLjA4AHIhMVZrdnRCN0kwMTRoYkxXMDY0ZlZmam5pakFVRXJGUTl0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2024-01-04T03:56:00Z</dcterms:created>
  <dcterms:modified xsi:type="dcterms:W3CDTF">2024-01-04T03:56:00Z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10b7ab6fdcacd2ee3efd300ea1d911081c2eb2d4c5300e5d9f07ffce8fccb704</vt:lpwstr>
  </property>
</Properties>
</file>