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F90EE3" w:rsidRPr="006C0BFC" w:rsidRDefault="00D968ED" w:rsidP="002909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C0BFC">
        <w:rPr>
          <w:rFonts w:ascii="Arial" w:hAnsi="Arial" w:cs="Arial"/>
          <w:b/>
          <w:bCs/>
          <w:color w:val="010000"/>
          <w:sz w:val="20"/>
        </w:rPr>
        <w:t>MH3:</w:t>
      </w:r>
      <w:r w:rsidRPr="006C0BF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3" w14:textId="77777777" w:rsidR="00F90EE3" w:rsidRPr="006C0BFC" w:rsidRDefault="00D968ED" w:rsidP="002909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BFC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6C0BFC">
        <w:rPr>
          <w:rFonts w:ascii="Arial" w:hAnsi="Arial" w:cs="Arial"/>
          <w:color w:val="010000"/>
          <w:sz w:val="20"/>
        </w:rPr>
        <w:t>Binh</w:t>
      </w:r>
      <w:proofErr w:type="spellEnd"/>
      <w:r w:rsidRPr="006C0BFC">
        <w:rPr>
          <w:rFonts w:ascii="Arial" w:hAnsi="Arial" w:cs="Arial"/>
          <w:color w:val="010000"/>
          <w:sz w:val="20"/>
        </w:rPr>
        <w:t xml:space="preserve"> Long Rubber Industrial Park Corporation announced Resolution No. 19/NQ-HDQT as follows:</w:t>
      </w:r>
    </w:p>
    <w:p w14:paraId="00000004" w14:textId="2BA3AD6F" w:rsidR="00F90EE3" w:rsidRPr="006C0BFC" w:rsidRDefault="00D968ED" w:rsidP="002909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BFC">
        <w:rPr>
          <w:rFonts w:ascii="Arial" w:hAnsi="Arial" w:cs="Arial"/>
          <w:color w:val="010000"/>
          <w:sz w:val="20"/>
        </w:rPr>
        <w:t xml:space="preserve">‎‎Article 1. The Board of Directors agrees on the dividend </w:t>
      </w:r>
      <w:r w:rsidR="00890622" w:rsidRPr="006C0BFC">
        <w:rPr>
          <w:rFonts w:ascii="Arial" w:hAnsi="Arial" w:cs="Arial"/>
          <w:color w:val="010000"/>
          <w:sz w:val="20"/>
        </w:rPr>
        <w:t>pre</w:t>
      </w:r>
      <w:r w:rsidRPr="006C0BFC">
        <w:rPr>
          <w:rFonts w:ascii="Arial" w:hAnsi="Arial" w:cs="Arial"/>
          <w:color w:val="010000"/>
          <w:sz w:val="20"/>
        </w:rPr>
        <w:t xml:space="preserve">payment of </w:t>
      </w:r>
      <w:r w:rsidR="00890622" w:rsidRPr="006C0BFC">
        <w:rPr>
          <w:rFonts w:ascii="Arial" w:hAnsi="Arial" w:cs="Arial"/>
          <w:color w:val="010000"/>
          <w:sz w:val="20"/>
        </w:rPr>
        <w:t xml:space="preserve">round </w:t>
      </w:r>
      <w:r w:rsidRPr="006C0BFC">
        <w:rPr>
          <w:rFonts w:ascii="Arial" w:hAnsi="Arial" w:cs="Arial"/>
          <w:color w:val="010000"/>
          <w:sz w:val="20"/>
        </w:rPr>
        <w:t xml:space="preserve">1 of 2023 as follows: </w:t>
      </w:r>
    </w:p>
    <w:p w14:paraId="00000005" w14:textId="4228C536" w:rsidR="00F90EE3" w:rsidRPr="006C0BFC" w:rsidRDefault="002909FB" w:rsidP="00290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</w:t>
      </w:r>
      <w:r w:rsidR="00D968ED" w:rsidRPr="006C0BFC">
        <w:rPr>
          <w:rFonts w:ascii="Arial" w:hAnsi="Arial" w:cs="Arial"/>
          <w:color w:val="010000"/>
          <w:sz w:val="20"/>
        </w:rPr>
        <w:t xml:space="preserve"> rate of </w:t>
      </w:r>
      <w:r w:rsidR="00890622" w:rsidRPr="006C0BFC">
        <w:rPr>
          <w:rFonts w:ascii="Arial" w:hAnsi="Arial" w:cs="Arial"/>
          <w:color w:val="010000"/>
          <w:sz w:val="20"/>
        </w:rPr>
        <w:t>round</w:t>
      </w:r>
      <w:r w:rsidR="00D968ED" w:rsidRPr="006C0BFC">
        <w:rPr>
          <w:rFonts w:ascii="Arial" w:hAnsi="Arial" w:cs="Arial"/>
          <w:color w:val="010000"/>
          <w:sz w:val="20"/>
        </w:rPr>
        <w:t xml:space="preserve"> 1: 7% (shareholders receive VND 700 for every share they own).</w:t>
      </w:r>
    </w:p>
    <w:p w14:paraId="00000006" w14:textId="0FC0AC43" w:rsidR="00F90EE3" w:rsidRPr="006C0BFC" w:rsidRDefault="002909FB" w:rsidP="00290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Record date for shareholder</w:t>
      </w:r>
      <w:r w:rsidR="00D968ED" w:rsidRPr="006C0BFC">
        <w:rPr>
          <w:rFonts w:ascii="Arial" w:hAnsi="Arial" w:cs="Arial"/>
          <w:color w:val="010000"/>
          <w:sz w:val="20"/>
        </w:rPr>
        <w:t xml:space="preserve"> list: January 30, 2024.</w:t>
      </w:r>
    </w:p>
    <w:p w14:paraId="00000007" w14:textId="45A085C9" w:rsidR="00F90EE3" w:rsidRPr="006C0BFC" w:rsidRDefault="002909FB" w:rsidP="00290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D968ED" w:rsidRPr="006C0BFC">
        <w:rPr>
          <w:rFonts w:ascii="Arial" w:hAnsi="Arial" w:cs="Arial"/>
          <w:color w:val="010000"/>
          <w:sz w:val="20"/>
        </w:rPr>
        <w:t>: April 10, 2024.</w:t>
      </w:r>
    </w:p>
    <w:p w14:paraId="00000008" w14:textId="3883E508" w:rsidR="00F90EE3" w:rsidRPr="006C0BFC" w:rsidRDefault="00D968ED" w:rsidP="002909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BFC">
        <w:rPr>
          <w:rFonts w:ascii="Arial" w:hAnsi="Arial" w:cs="Arial"/>
          <w:color w:val="010000"/>
          <w:sz w:val="20"/>
        </w:rPr>
        <w:t xml:space="preserve">‎‎Article 2. Assign the Executive Board to implement procedures for </w:t>
      </w:r>
      <w:r w:rsidR="00890622" w:rsidRPr="006C0BFC">
        <w:rPr>
          <w:rFonts w:ascii="Arial" w:hAnsi="Arial" w:cs="Arial"/>
          <w:color w:val="010000"/>
          <w:sz w:val="20"/>
        </w:rPr>
        <w:t>pre</w:t>
      </w:r>
      <w:r w:rsidRPr="006C0BFC">
        <w:rPr>
          <w:rFonts w:ascii="Arial" w:hAnsi="Arial" w:cs="Arial"/>
          <w:color w:val="010000"/>
          <w:sz w:val="20"/>
        </w:rPr>
        <w:t xml:space="preserve">paying the dividend </w:t>
      </w:r>
      <w:r w:rsidR="00890622" w:rsidRPr="006C0BFC">
        <w:rPr>
          <w:rFonts w:ascii="Arial" w:hAnsi="Arial" w:cs="Arial"/>
          <w:color w:val="010000"/>
          <w:sz w:val="20"/>
        </w:rPr>
        <w:t>in round</w:t>
      </w:r>
      <w:r w:rsidRPr="006C0BFC">
        <w:rPr>
          <w:rFonts w:ascii="Arial" w:hAnsi="Arial" w:cs="Arial"/>
          <w:color w:val="010000"/>
          <w:sz w:val="20"/>
        </w:rPr>
        <w:t xml:space="preserve"> 1 of 2023 in compliance with current </w:t>
      </w:r>
      <w:r w:rsidR="00890622" w:rsidRPr="006C0BFC">
        <w:rPr>
          <w:rFonts w:ascii="Arial" w:hAnsi="Arial" w:cs="Arial"/>
          <w:color w:val="010000"/>
          <w:sz w:val="20"/>
        </w:rPr>
        <w:t>regulations</w:t>
      </w:r>
      <w:r w:rsidRPr="006C0BFC">
        <w:rPr>
          <w:rFonts w:ascii="Arial" w:hAnsi="Arial" w:cs="Arial"/>
          <w:color w:val="010000"/>
          <w:sz w:val="20"/>
        </w:rPr>
        <w:t>.</w:t>
      </w:r>
    </w:p>
    <w:p w14:paraId="00000009" w14:textId="29C0A477" w:rsidR="00F90EE3" w:rsidRPr="006C0BFC" w:rsidRDefault="00D968ED" w:rsidP="002909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BFC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2909FB">
        <w:rPr>
          <w:rFonts w:ascii="Arial" w:hAnsi="Arial" w:cs="Arial"/>
          <w:color w:val="010000"/>
          <w:sz w:val="20"/>
        </w:rPr>
        <w:t>Managing Director,</w:t>
      </w:r>
      <w:r w:rsidRPr="006C0BFC">
        <w:rPr>
          <w:rFonts w:ascii="Arial" w:hAnsi="Arial" w:cs="Arial"/>
          <w:color w:val="010000"/>
          <w:sz w:val="20"/>
        </w:rPr>
        <w:t xml:space="preserve"> Deputy </w:t>
      </w:r>
      <w:r w:rsidR="002909FB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6C0BFC">
        <w:rPr>
          <w:rFonts w:ascii="Arial" w:hAnsi="Arial" w:cs="Arial"/>
          <w:color w:val="010000"/>
          <w:sz w:val="20"/>
        </w:rPr>
        <w:t xml:space="preserve"> and functional departments are responsible for the implementation of this Resolution.</w:t>
      </w:r>
    </w:p>
    <w:sectPr w:rsidR="00F90EE3" w:rsidRPr="006C0BFC" w:rsidSect="0089062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32393"/>
    <w:multiLevelType w:val="multilevel"/>
    <w:tmpl w:val="A8E629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3"/>
    <w:rsid w:val="002909FB"/>
    <w:rsid w:val="006C0BFC"/>
    <w:rsid w:val="00890622"/>
    <w:rsid w:val="00D968ED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56A6D"/>
  <w15:docId w15:val="{F870FAFC-61C6-41CF-A6BF-F838B1A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fBccclcyYCL3Qn1w5Yr3nGOBg==">CgMxLjA4AHIhMXJ2azhFVnRQdFhoUGQtS3docUljMHZkMDNiYVNzVGdo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2024-01-04T03:36:00Z</dcterms:created>
  <dcterms:modified xsi:type="dcterms:W3CDTF">2024-01-04T03:36:00Z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d726b685c82fec9b9be3bd483b521e7b07f1228509b949bca61d27b34be45908</vt:lpwstr>
  </property>
</Properties>
</file>