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B2F96" w:rsidRPr="00384E78" w:rsidRDefault="00FD34A8" w:rsidP="00FD34A8">
      <w:pPr>
        <w:pBdr>
          <w:top w:val="nil"/>
          <w:left w:val="nil"/>
          <w:bottom w:val="nil"/>
          <w:right w:val="nil"/>
          <w:between w:val="nil"/>
        </w:pBdr>
        <w:tabs>
          <w:tab w:val="left" w:pos="5466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384E78">
        <w:rPr>
          <w:rFonts w:ascii="Arial" w:hAnsi="Arial" w:cs="Arial"/>
          <w:b/>
          <w:color w:val="010000"/>
          <w:sz w:val="20"/>
        </w:rPr>
        <w:t>GEE: Board Resolution</w:t>
      </w:r>
    </w:p>
    <w:p w14:paraId="00000002" w14:textId="77777777" w:rsidR="00CB2F96" w:rsidRPr="00384E78" w:rsidRDefault="00FD34A8" w:rsidP="00FD34A8">
      <w:pPr>
        <w:pBdr>
          <w:top w:val="nil"/>
          <w:left w:val="nil"/>
          <w:bottom w:val="nil"/>
          <w:right w:val="nil"/>
          <w:between w:val="nil"/>
        </w:pBdr>
        <w:tabs>
          <w:tab w:val="left" w:pos="546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84E78">
        <w:rPr>
          <w:rFonts w:ascii="Arial" w:hAnsi="Arial" w:cs="Arial"/>
          <w:color w:val="010000"/>
          <w:sz w:val="20"/>
        </w:rPr>
        <w:t xml:space="preserve">On January 2, 2024, </w:t>
      </w:r>
      <w:proofErr w:type="spellStart"/>
      <w:r w:rsidRPr="00384E78">
        <w:rPr>
          <w:rFonts w:ascii="Arial" w:hAnsi="Arial" w:cs="Arial"/>
          <w:color w:val="010000"/>
          <w:sz w:val="20"/>
        </w:rPr>
        <w:t>Gelex</w:t>
      </w:r>
      <w:proofErr w:type="spellEnd"/>
      <w:r w:rsidRPr="00384E78">
        <w:rPr>
          <w:rFonts w:ascii="Arial" w:hAnsi="Arial" w:cs="Arial"/>
          <w:color w:val="010000"/>
          <w:sz w:val="20"/>
        </w:rPr>
        <w:t xml:space="preserve"> Electricity Joint Stock Company announced Resolution No. 02/2024/GE/NQ-HDQT on the approval of contracts and transactions with related parties in 2024 as follows:</w:t>
      </w:r>
    </w:p>
    <w:p w14:paraId="00000003" w14:textId="576BBCBF" w:rsidR="00CB2F96" w:rsidRPr="00384E78" w:rsidRDefault="00FD34A8" w:rsidP="00FD34A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84E78">
        <w:rPr>
          <w:rFonts w:ascii="Arial" w:hAnsi="Arial" w:cs="Arial"/>
          <w:color w:val="010000"/>
          <w:sz w:val="20"/>
        </w:rPr>
        <w:t>‎‎Article 1. Approv</w:t>
      </w:r>
      <w:r w:rsidR="00856DFE" w:rsidRPr="00384E78">
        <w:rPr>
          <w:rFonts w:ascii="Arial" w:hAnsi="Arial" w:cs="Arial"/>
          <w:color w:val="010000"/>
          <w:sz w:val="20"/>
        </w:rPr>
        <w:t xml:space="preserve">ing </w:t>
      </w:r>
      <w:r w:rsidRPr="00384E78">
        <w:rPr>
          <w:rFonts w:ascii="Arial" w:hAnsi="Arial" w:cs="Arial"/>
          <w:color w:val="010000"/>
          <w:sz w:val="20"/>
        </w:rPr>
        <w:t xml:space="preserve">signing and </w:t>
      </w:r>
      <w:r w:rsidR="00856DFE" w:rsidRPr="00384E78">
        <w:rPr>
          <w:rFonts w:ascii="Arial" w:hAnsi="Arial" w:cs="Arial"/>
          <w:color w:val="010000"/>
          <w:sz w:val="20"/>
        </w:rPr>
        <w:t>executing</w:t>
      </w:r>
      <w:r w:rsidRPr="00384E78">
        <w:rPr>
          <w:rFonts w:ascii="Arial" w:hAnsi="Arial" w:cs="Arial"/>
          <w:color w:val="010000"/>
          <w:sz w:val="20"/>
        </w:rPr>
        <w:t xml:space="preserve"> contracts and transactions between the Company and related parties in 2024, in accordance with the provisions of Article 167 of the </w:t>
      </w:r>
      <w:r w:rsidR="00384E78" w:rsidRPr="00384E78">
        <w:rPr>
          <w:rFonts w:ascii="Arial" w:hAnsi="Arial" w:cs="Arial"/>
          <w:color w:val="010000"/>
          <w:sz w:val="20"/>
        </w:rPr>
        <w:t>Law on Enterprises</w:t>
      </w:r>
      <w:r w:rsidRPr="00384E78">
        <w:rPr>
          <w:rFonts w:ascii="Arial" w:hAnsi="Arial" w:cs="Arial"/>
          <w:color w:val="010000"/>
          <w:sz w:val="20"/>
        </w:rPr>
        <w:t xml:space="preserve"> 2020 (excluding contracts prohibited under Article 293 of Decree 155/2020/ND-CP guiding the </w:t>
      </w:r>
      <w:r w:rsidR="00856DFE" w:rsidRPr="00384E78">
        <w:rPr>
          <w:rFonts w:ascii="Arial" w:hAnsi="Arial" w:cs="Arial"/>
          <w:color w:val="010000"/>
          <w:sz w:val="20"/>
        </w:rPr>
        <w:t xml:space="preserve">Law on </w:t>
      </w:r>
      <w:r w:rsidRPr="00384E78">
        <w:rPr>
          <w:rFonts w:ascii="Arial" w:hAnsi="Arial" w:cs="Arial"/>
          <w:color w:val="010000"/>
          <w:sz w:val="20"/>
        </w:rPr>
        <w:t>Securities 2019 and other legal regulations, if any). Specifically, the contents are as follows:</w:t>
      </w:r>
    </w:p>
    <w:p w14:paraId="00000004" w14:textId="49EBB898" w:rsidR="00CB2F96" w:rsidRPr="00384E78" w:rsidRDefault="00FD34A8" w:rsidP="00FD3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84E78">
        <w:rPr>
          <w:rFonts w:ascii="Arial" w:hAnsi="Arial" w:cs="Arial"/>
          <w:color w:val="010000"/>
          <w:sz w:val="20"/>
        </w:rPr>
        <w:t>The related party signing contracts, transactions with the Company includes individuals and organizations.</w:t>
      </w:r>
    </w:p>
    <w:p w14:paraId="00000007" w14:textId="5B50E846" w:rsidR="00CB2F96" w:rsidRPr="000C0EF9" w:rsidRDefault="00FD34A8" w:rsidP="00FD3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84E78">
        <w:rPr>
          <w:rFonts w:ascii="Arial" w:hAnsi="Arial" w:cs="Arial"/>
          <w:color w:val="010000"/>
          <w:sz w:val="20"/>
        </w:rPr>
        <w:t>Subjects of contracts and transactions: purchase/sale of finished products/commodities/services/supplies, raw materials; transfer or receive the right to use trademarks; lease/rent assets; lending/borrowing transactions; collateral transactions (guarantees, pledges, mortgages); trading securities; corporate management consulting; investment support consulting; office rental; cost-sharing transactions; collection of fees (in using services/software/equipment/goods), etc.</w:t>
      </w:r>
      <w:bookmarkStart w:id="0" w:name="_GoBack"/>
      <w:bookmarkEnd w:id="0"/>
    </w:p>
    <w:p w14:paraId="00000008" w14:textId="41D827B8" w:rsidR="00CB2F96" w:rsidRPr="00384E78" w:rsidRDefault="00FD34A8" w:rsidP="00FD3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84E78">
        <w:rPr>
          <w:rFonts w:ascii="Arial" w:hAnsi="Arial" w:cs="Arial"/>
          <w:color w:val="010000"/>
          <w:sz w:val="20"/>
        </w:rPr>
        <w:t xml:space="preserve">Contract/transaction value: Details within the limits specified in the framework and the authority of the Board of Directors as outlined in the attached appendix to this Resolution. </w:t>
      </w:r>
      <w:r w:rsidR="002969BA" w:rsidRPr="00384E78">
        <w:rPr>
          <w:rFonts w:ascii="Arial" w:hAnsi="Arial" w:cs="Arial"/>
          <w:color w:val="010000"/>
          <w:sz w:val="20"/>
        </w:rPr>
        <w:t xml:space="preserve">(The Board of Directors </w:t>
      </w:r>
      <w:r w:rsidRPr="00384E78">
        <w:rPr>
          <w:rFonts w:ascii="Arial" w:hAnsi="Arial" w:cs="Arial"/>
          <w:color w:val="010000"/>
          <w:sz w:val="20"/>
        </w:rPr>
        <w:t>submitted to the General Meeting of Shareholders for approval: (</w:t>
      </w:r>
      <w:proofErr w:type="spellStart"/>
      <w:r w:rsidRPr="00384E78">
        <w:rPr>
          <w:rFonts w:ascii="Arial" w:hAnsi="Arial" w:cs="Arial"/>
          <w:color w:val="010000"/>
          <w:sz w:val="20"/>
        </w:rPr>
        <w:t>i</w:t>
      </w:r>
      <w:proofErr w:type="spellEnd"/>
      <w:r w:rsidRPr="00384E78">
        <w:rPr>
          <w:rFonts w:ascii="Arial" w:hAnsi="Arial" w:cs="Arial"/>
          <w:color w:val="010000"/>
          <w:sz w:val="20"/>
        </w:rPr>
        <w:t>) Contracts, loan transactions, lending, sale of assets between the Company and shareholders owning 51% or more of the total voting shares, or related persons of those shareholders, with a value exceeding 10% of the total value of asse</w:t>
      </w:r>
      <w:r w:rsidR="00856DFE" w:rsidRPr="00384E78">
        <w:rPr>
          <w:rFonts w:ascii="Arial" w:hAnsi="Arial" w:cs="Arial"/>
          <w:color w:val="010000"/>
          <w:sz w:val="20"/>
        </w:rPr>
        <w:t xml:space="preserve">ts recorded in the most recent </w:t>
      </w:r>
      <w:r w:rsidR="00384E78" w:rsidRPr="00384E78">
        <w:rPr>
          <w:rFonts w:ascii="Arial" w:hAnsi="Arial" w:cs="Arial"/>
          <w:color w:val="010000"/>
          <w:sz w:val="20"/>
        </w:rPr>
        <w:t>Financial Statements</w:t>
      </w:r>
      <w:r w:rsidRPr="00384E78">
        <w:rPr>
          <w:rFonts w:ascii="Arial" w:hAnsi="Arial" w:cs="Arial"/>
          <w:color w:val="010000"/>
          <w:sz w:val="20"/>
        </w:rPr>
        <w:t>. (ii) Other contracts or transactions not falling under (</w:t>
      </w:r>
      <w:proofErr w:type="spellStart"/>
      <w:r w:rsidRPr="00384E78">
        <w:rPr>
          <w:rFonts w:ascii="Arial" w:hAnsi="Arial" w:cs="Arial"/>
          <w:color w:val="010000"/>
          <w:sz w:val="20"/>
        </w:rPr>
        <w:t>i</w:t>
      </w:r>
      <w:proofErr w:type="spellEnd"/>
      <w:r w:rsidRPr="00384E78">
        <w:rPr>
          <w:rFonts w:ascii="Arial" w:hAnsi="Arial" w:cs="Arial"/>
          <w:color w:val="010000"/>
          <w:sz w:val="20"/>
        </w:rPr>
        <w:t xml:space="preserve">). With a value equal to or exceeding 35%, or transactions resulting in a total transaction value within 12 months from the date of the first transaction exceeding 35% of the total value of the Company's assets recorded in the most recent </w:t>
      </w:r>
      <w:r w:rsidR="00384E78" w:rsidRPr="00384E78">
        <w:rPr>
          <w:rFonts w:ascii="Arial" w:hAnsi="Arial" w:cs="Arial"/>
          <w:color w:val="010000"/>
          <w:sz w:val="20"/>
        </w:rPr>
        <w:t>Financial Statements</w:t>
      </w:r>
      <w:r w:rsidRPr="00384E78">
        <w:rPr>
          <w:rFonts w:ascii="Arial" w:hAnsi="Arial" w:cs="Arial"/>
          <w:color w:val="010000"/>
          <w:sz w:val="20"/>
        </w:rPr>
        <w:t>.</w:t>
      </w:r>
    </w:p>
    <w:p w14:paraId="25DCCBD7" w14:textId="74B6C218" w:rsidR="00FD34A8" w:rsidRPr="00384E78" w:rsidRDefault="00856DFE" w:rsidP="00FD3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7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84E78">
        <w:rPr>
          <w:rFonts w:ascii="Arial" w:hAnsi="Arial" w:cs="Arial"/>
          <w:color w:val="010000"/>
          <w:sz w:val="20"/>
        </w:rPr>
        <w:t>The Board R</w:t>
      </w:r>
      <w:r w:rsidR="00FD34A8" w:rsidRPr="00384E78">
        <w:rPr>
          <w:rFonts w:ascii="Arial" w:hAnsi="Arial" w:cs="Arial"/>
          <w:color w:val="010000"/>
          <w:sz w:val="20"/>
        </w:rPr>
        <w:t xml:space="preserve">esolution applies to contracts and transactions signed </w:t>
      </w:r>
      <w:r w:rsidRPr="00384E78">
        <w:rPr>
          <w:rFonts w:ascii="Arial" w:hAnsi="Arial" w:cs="Arial"/>
          <w:color w:val="010000"/>
          <w:sz w:val="20"/>
        </w:rPr>
        <w:t>in</w:t>
      </w:r>
      <w:r w:rsidR="00FD34A8" w:rsidRPr="00384E78">
        <w:rPr>
          <w:rFonts w:ascii="Arial" w:hAnsi="Arial" w:cs="Arial"/>
          <w:color w:val="010000"/>
          <w:sz w:val="20"/>
        </w:rPr>
        <w:t xml:space="preserve"> 2024. ‎‎</w:t>
      </w:r>
    </w:p>
    <w:p w14:paraId="00000009" w14:textId="117E198A" w:rsidR="00CB2F96" w:rsidRPr="00384E78" w:rsidRDefault="00FD34A8" w:rsidP="00FD34A8">
      <w:pPr>
        <w:pBdr>
          <w:top w:val="nil"/>
          <w:left w:val="nil"/>
          <w:bottom w:val="nil"/>
          <w:right w:val="nil"/>
          <w:between w:val="nil"/>
        </w:pBdr>
        <w:tabs>
          <w:tab w:val="left" w:pos="67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84E78">
        <w:rPr>
          <w:rFonts w:ascii="Arial" w:hAnsi="Arial" w:cs="Arial"/>
          <w:color w:val="010000"/>
          <w:sz w:val="20"/>
        </w:rPr>
        <w:t xml:space="preserve">Article 2. </w:t>
      </w:r>
      <w:r w:rsidR="00856DFE" w:rsidRPr="00384E78">
        <w:rPr>
          <w:rFonts w:ascii="Arial" w:hAnsi="Arial" w:cs="Arial"/>
          <w:color w:val="010000"/>
          <w:sz w:val="20"/>
        </w:rPr>
        <w:t>Assign/authorize</w:t>
      </w:r>
      <w:r w:rsidRPr="00384E78">
        <w:rPr>
          <w:rFonts w:ascii="Arial" w:hAnsi="Arial" w:cs="Arial"/>
          <w:color w:val="010000"/>
          <w:sz w:val="20"/>
        </w:rPr>
        <w:t xml:space="preserve"> the General Manager of the Company (or the person authorized by the General Manager) to decide on the signing and detailed terms, execute/renew/amend, supplement/terminate/settle contracts, transactions between the Company and the aforementioned related parties in accordance with legal regulations and internal </w:t>
      </w:r>
      <w:r w:rsidR="00856DFE" w:rsidRPr="00384E78">
        <w:rPr>
          <w:rFonts w:ascii="Arial" w:hAnsi="Arial" w:cs="Arial"/>
          <w:color w:val="010000"/>
          <w:sz w:val="20"/>
        </w:rPr>
        <w:t xml:space="preserve">regulations of the </w:t>
      </w:r>
      <w:r w:rsidRPr="00384E78">
        <w:rPr>
          <w:rFonts w:ascii="Arial" w:hAnsi="Arial" w:cs="Arial"/>
          <w:color w:val="010000"/>
          <w:sz w:val="20"/>
        </w:rPr>
        <w:t>Company.</w:t>
      </w:r>
    </w:p>
    <w:p w14:paraId="0000000A" w14:textId="21A2EF68" w:rsidR="00CB2F96" w:rsidRPr="00384E78" w:rsidRDefault="00FD34A8" w:rsidP="00FD34A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84E78">
        <w:rPr>
          <w:rFonts w:ascii="Arial" w:hAnsi="Arial" w:cs="Arial"/>
          <w:color w:val="010000"/>
          <w:sz w:val="20"/>
        </w:rPr>
        <w:t xml:space="preserve">‎‎Article 3. This Resolution takes effect </w:t>
      </w:r>
      <w:r w:rsidR="00856DFE" w:rsidRPr="00384E78">
        <w:rPr>
          <w:rFonts w:ascii="Arial" w:hAnsi="Arial" w:cs="Arial"/>
          <w:color w:val="010000"/>
          <w:sz w:val="20"/>
        </w:rPr>
        <w:t>from</w:t>
      </w:r>
      <w:r w:rsidRPr="00384E78">
        <w:rPr>
          <w:rFonts w:ascii="Arial" w:hAnsi="Arial" w:cs="Arial"/>
          <w:color w:val="010000"/>
          <w:sz w:val="20"/>
        </w:rPr>
        <w:t xml:space="preserve"> the date of its signing and promulgation.</w:t>
      </w:r>
    </w:p>
    <w:p w14:paraId="0000000B" w14:textId="2B0D0F38" w:rsidR="00CB2F96" w:rsidRPr="00384E78" w:rsidRDefault="00FD34A8" w:rsidP="00FD34A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84E78">
        <w:rPr>
          <w:rFonts w:ascii="Arial" w:hAnsi="Arial" w:cs="Arial"/>
          <w:color w:val="010000"/>
          <w:sz w:val="20"/>
        </w:rPr>
        <w:t xml:space="preserve">Members of the Board of Directors, the Board of Management, </w:t>
      </w:r>
      <w:r w:rsidR="00856DFE" w:rsidRPr="00384E78">
        <w:rPr>
          <w:rFonts w:ascii="Arial" w:hAnsi="Arial" w:cs="Arial"/>
          <w:color w:val="010000"/>
          <w:sz w:val="20"/>
        </w:rPr>
        <w:t>the Chief A</w:t>
      </w:r>
      <w:r w:rsidRPr="00384E78">
        <w:rPr>
          <w:rFonts w:ascii="Arial" w:hAnsi="Arial" w:cs="Arial"/>
          <w:color w:val="010000"/>
          <w:sz w:val="20"/>
        </w:rPr>
        <w:t xml:space="preserve">ccountant and related units of the Company are responsible for </w:t>
      </w:r>
      <w:r w:rsidR="00856DFE" w:rsidRPr="00384E78">
        <w:rPr>
          <w:rFonts w:ascii="Arial" w:hAnsi="Arial" w:cs="Arial"/>
          <w:color w:val="010000"/>
          <w:sz w:val="20"/>
        </w:rPr>
        <w:t>implementing</w:t>
      </w:r>
      <w:r w:rsidRPr="00384E78">
        <w:rPr>
          <w:rFonts w:ascii="Arial" w:hAnsi="Arial" w:cs="Arial"/>
          <w:color w:val="010000"/>
          <w:sz w:val="20"/>
        </w:rPr>
        <w:t xml:space="preserve"> this Resolution.</w:t>
      </w:r>
    </w:p>
    <w:sectPr w:rsidR="00CB2F96" w:rsidRPr="00384E78" w:rsidSect="00FD34A8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01FD1"/>
    <w:multiLevelType w:val="multilevel"/>
    <w:tmpl w:val="695EC982"/>
    <w:lvl w:ilvl="0">
      <w:start w:val="1"/>
      <w:numFmt w:val="decimal"/>
      <w:lvlText w:val="1.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96"/>
    <w:rsid w:val="000C0EF9"/>
    <w:rsid w:val="002969BA"/>
    <w:rsid w:val="00384E78"/>
    <w:rsid w:val="00856DFE"/>
    <w:rsid w:val="00CB2F96"/>
    <w:rsid w:val="00FD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CB1F39"/>
  <w15:docId w15:val="{5E392D99-6E41-4A54-9CB8-1CF56AA7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YHCeFkPBX685zFiuztjSlmAHFA==">CgMxLjA4AHIhMTBZeWdNaUViMWZ3ajF4a0VtWEtXa1d2aFJxbXZwcm1a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Trinh Ha Phuong</cp:lastModifiedBy>
  <cp:revision>8</cp:revision>
  <dcterms:created xsi:type="dcterms:W3CDTF">2024-01-04T09:01:00Z</dcterms:created>
  <dcterms:modified xsi:type="dcterms:W3CDTF">2024-01-05T06:45:00Z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0bca029b1ee059f1fcf961f7eb050cad64da88e0827f325a4f1cb4f82fec4da2</vt:lpwstr>
  </property>
</Properties>
</file>