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8358E" w14:textId="77777777" w:rsidR="00E71411" w:rsidRPr="00012130" w:rsidRDefault="00F2307B" w:rsidP="00B60869">
      <w:pPr>
        <w:keepNext/>
        <w:pBdr>
          <w:top w:val="nil"/>
          <w:left w:val="nil"/>
          <w:bottom w:val="nil"/>
          <w:right w:val="nil"/>
          <w:between w:val="nil"/>
        </w:pBdr>
        <w:tabs>
          <w:tab w:val="left" w:pos="270"/>
          <w:tab w:val="left" w:pos="360"/>
        </w:tabs>
        <w:spacing w:after="120" w:line="360" w:lineRule="auto"/>
        <w:jc w:val="both"/>
        <w:rPr>
          <w:rFonts w:ascii="Arial" w:eastAsia="Arial" w:hAnsi="Arial" w:cs="Arial"/>
          <w:b/>
          <w:color w:val="010000"/>
          <w:sz w:val="20"/>
          <w:szCs w:val="20"/>
        </w:rPr>
      </w:pPr>
      <w:r w:rsidRPr="00012130">
        <w:rPr>
          <w:rFonts w:ascii="Arial" w:hAnsi="Arial" w:cs="Arial"/>
          <w:b/>
          <w:color w:val="010000"/>
          <w:sz w:val="20"/>
        </w:rPr>
        <w:t>BVB122028: Board Decision</w:t>
      </w:r>
    </w:p>
    <w:p w14:paraId="160B5CCF"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On December 27, 2023, Viet Capital Bank announced Decision No. 109/23/QD-HDQT on the public offering of bonds to increase Tier 2 Capital in 2024-2025 as follows: </w:t>
      </w:r>
    </w:p>
    <w:p w14:paraId="4CF42AF8"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proofErr w:type="gramStart"/>
      <w:r w:rsidRPr="00012130">
        <w:rPr>
          <w:rFonts w:ascii="Arial" w:hAnsi="Arial" w:cs="Arial"/>
          <w:color w:val="010000"/>
          <w:sz w:val="20"/>
        </w:rPr>
        <w:t>Article 1.</w:t>
      </w:r>
      <w:proofErr w:type="gramEnd"/>
      <w:r w:rsidRPr="00012130">
        <w:rPr>
          <w:rFonts w:ascii="Arial" w:hAnsi="Arial" w:cs="Arial"/>
          <w:color w:val="010000"/>
          <w:sz w:val="20"/>
        </w:rPr>
        <w:t xml:space="preserve"> Approve the plan on the public offering of bonds to increase Tier 2 Capital in 2024-2025, with the following main contents:</w:t>
      </w:r>
    </w:p>
    <w:p w14:paraId="4E2147A8" w14:textId="77777777" w:rsidR="00E71411" w:rsidRPr="00012130" w:rsidRDefault="00F2307B" w:rsidP="00B60869">
      <w:pPr>
        <w:numPr>
          <w:ilvl w:val="0"/>
          <w:numId w:val="2"/>
        </w:numPr>
        <w:pBdr>
          <w:top w:val="nil"/>
          <w:left w:val="nil"/>
          <w:bottom w:val="nil"/>
          <w:right w:val="nil"/>
          <w:between w:val="nil"/>
        </w:pBdr>
        <w:tabs>
          <w:tab w:val="left" w:pos="270"/>
          <w:tab w:val="left" w:pos="360"/>
          <w:tab w:val="left" w:pos="921"/>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Bond name: BVB bonds issued to the public in 2024 - 2025 </w:t>
      </w:r>
    </w:p>
    <w:p w14:paraId="6DC6D085" w14:textId="1ACB32DD" w:rsidR="00E71411" w:rsidRPr="00012130" w:rsidRDefault="00F2307B" w:rsidP="00B60869">
      <w:pPr>
        <w:numPr>
          <w:ilvl w:val="0"/>
          <w:numId w:val="2"/>
        </w:numPr>
        <w:pBdr>
          <w:top w:val="nil"/>
          <w:left w:val="nil"/>
          <w:bottom w:val="nil"/>
          <w:right w:val="nil"/>
          <w:between w:val="nil"/>
        </w:pBdr>
        <w:tabs>
          <w:tab w:val="left" w:pos="270"/>
          <w:tab w:val="left" w:pos="360"/>
          <w:tab w:val="left" w:pos="921"/>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Bond type: Bonds that are non-convertible, not accompanied by warrants and not secured by collateral, are subordinated debts, </w:t>
      </w:r>
      <w:r w:rsidR="005B7AC5" w:rsidRPr="00012130">
        <w:rPr>
          <w:rFonts w:ascii="Arial" w:hAnsi="Arial" w:cs="Arial"/>
          <w:color w:val="010000"/>
          <w:sz w:val="20"/>
        </w:rPr>
        <w:t>and</w:t>
      </w:r>
      <w:r w:rsidRPr="00012130">
        <w:rPr>
          <w:rFonts w:ascii="Arial" w:hAnsi="Arial" w:cs="Arial"/>
          <w:color w:val="010000"/>
          <w:sz w:val="20"/>
        </w:rPr>
        <w:t xml:space="preserve"> </w:t>
      </w:r>
      <w:r w:rsidR="005B7AC5" w:rsidRPr="00012130">
        <w:rPr>
          <w:rFonts w:ascii="Arial" w:hAnsi="Arial" w:cs="Arial"/>
          <w:color w:val="010000"/>
          <w:sz w:val="20"/>
        </w:rPr>
        <w:t>satisfy</w:t>
      </w:r>
      <w:r w:rsidRPr="00012130">
        <w:rPr>
          <w:rFonts w:ascii="Arial" w:hAnsi="Arial" w:cs="Arial"/>
          <w:color w:val="010000"/>
          <w:sz w:val="20"/>
        </w:rPr>
        <w:t xml:space="preserve"> the conditions to be considered as Tier 2 capital in accordance with the current provisions of law.</w:t>
      </w:r>
    </w:p>
    <w:p w14:paraId="7F3A6C02" w14:textId="77777777" w:rsidR="00E71411" w:rsidRPr="00012130" w:rsidRDefault="00F2307B" w:rsidP="00B60869">
      <w:pPr>
        <w:numPr>
          <w:ilvl w:val="0"/>
          <w:numId w:val="2"/>
        </w:numPr>
        <w:pBdr>
          <w:top w:val="nil"/>
          <w:left w:val="nil"/>
          <w:bottom w:val="nil"/>
          <w:right w:val="nil"/>
          <w:between w:val="nil"/>
        </w:pBdr>
        <w:tabs>
          <w:tab w:val="left" w:pos="270"/>
          <w:tab w:val="left" w:pos="360"/>
          <w:tab w:val="left" w:pos="921"/>
        </w:tabs>
        <w:spacing w:after="120" w:line="360" w:lineRule="auto"/>
        <w:jc w:val="both"/>
        <w:rPr>
          <w:rFonts w:ascii="Arial" w:eastAsia="Arial" w:hAnsi="Arial" w:cs="Arial"/>
          <w:color w:val="010000"/>
          <w:sz w:val="20"/>
          <w:szCs w:val="20"/>
        </w:rPr>
      </w:pPr>
      <w:r w:rsidRPr="00012130">
        <w:rPr>
          <w:rFonts w:ascii="Arial" w:hAnsi="Arial" w:cs="Arial"/>
          <w:color w:val="010000"/>
          <w:sz w:val="20"/>
        </w:rPr>
        <w:t>Par value: VND 100,000/bond</w:t>
      </w:r>
    </w:p>
    <w:p w14:paraId="7F4E85EE" w14:textId="77777777" w:rsidR="00E71411" w:rsidRPr="00012130" w:rsidRDefault="00F2307B" w:rsidP="00B60869">
      <w:pPr>
        <w:numPr>
          <w:ilvl w:val="0"/>
          <w:numId w:val="2"/>
        </w:numPr>
        <w:pBdr>
          <w:top w:val="nil"/>
          <w:left w:val="nil"/>
          <w:bottom w:val="nil"/>
          <w:right w:val="nil"/>
          <w:between w:val="nil"/>
        </w:pBdr>
        <w:tabs>
          <w:tab w:val="left" w:pos="270"/>
          <w:tab w:val="left" w:pos="360"/>
          <w:tab w:val="left" w:pos="921"/>
        </w:tabs>
        <w:spacing w:after="120" w:line="360" w:lineRule="auto"/>
        <w:jc w:val="both"/>
        <w:rPr>
          <w:rFonts w:ascii="Arial" w:eastAsia="Arial" w:hAnsi="Arial" w:cs="Arial"/>
          <w:color w:val="010000"/>
          <w:sz w:val="20"/>
          <w:szCs w:val="20"/>
        </w:rPr>
      </w:pPr>
      <w:r w:rsidRPr="00012130">
        <w:rPr>
          <w:rFonts w:ascii="Arial" w:hAnsi="Arial" w:cs="Arial"/>
          <w:color w:val="010000"/>
          <w:sz w:val="20"/>
        </w:rPr>
        <w:t>Issuance price: VND 100,000/bond</w:t>
      </w:r>
    </w:p>
    <w:p w14:paraId="0274E963" w14:textId="732F124E" w:rsidR="00E71411" w:rsidRPr="00012130" w:rsidRDefault="00F2307B" w:rsidP="00B60869">
      <w:pPr>
        <w:numPr>
          <w:ilvl w:val="0"/>
          <w:numId w:val="2"/>
        </w:numPr>
        <w:pBdr>
          <w:top w:val="nil"/>
          <w:left w:val="nil"/>
          <w:bottom w:val="nil"/>
          <w:right w:val="nil"/>
          <w:between w:val="nil"/>
        </w:pBdr>
        <w:tabs>
          <w:tab w:val="left" w:pos="270"/>
          <w:tab w:val="left" w:pos="360"/>
          <w:tab w:val="left" w:pos="921"/>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The expected total number of bonds to be issued, the total value of the bonds to be issued, and the number of issuance </w:t>
      </w:r>
      <w:r w:rsidR="005B7AC5" w:rsidRPr="00012130">
        <w:rPr>
          <w:rFonts w:ascii="Arial" w:hAnsi="Arial" w:cs="Arial"/>
          <w:color w:val="010000"/>
          <w:sz w:val="20"/>
        </w:rPr>
        <w:t>rounds</w:t>
      </w:r>
      <w:r w:rsidRPr="00012130">
        <w:rPr>
          <w:rFonts w:ascii="Arial" w:hAnsi="Arial" w:cs="Arial"/>
          <w:color w:val="010000"/>
          <w:sz w:val="20"/>
        </w:rPr>
        <w:t xml:space="preserve"> are as follows:</w:t>
      </w:r>
    </w:p>
    <w:p w14:paraId="5A2A1A0F" w14:textId="77777777" w:rsidR="00E71411" w:rsidRPr="00012130" w:rsidRDefault="00F2307B" w:rsidP="00B60869">
      <w:pPr>
        <w:numPr>
          <w:ilvl w:val="0"/>
          <w:numId w:val="1"/>
        </w:numPr>
        <w:pBdr>
          <w:top w:val="nil"/>
          <w:left w:val="nil"/>
          <w:bottom w:val="nil"/>
          <w:right w:val="nil"/>
          <w:between w:val="nil"/>
        </w:pBdr>
        <w:tabs>
          <w:tab w:val="left" w:pos="270"/>
          <w:tab w:val="left" w:pos="360"/>
          <w:tab w:val="left" w:pos="1222"/>
        </w:tabs>
        <w:spacing w:after="120" w:line="360" w:lineRule="auto"/>
        <w:jc w:val="both"/>
        <w:rPr>
          <w:rFonts w:ascii="Arial" w:eastAsia="Arial" w:hAnsi="Arial" w:cs="Arial"/>
          <w:color w:val="010000"/>
          <w:sz w:val="20"/>
          <w:szCs w:val="20"/>
        </w:rPr>
      </w:pPr>
      <w:r w:rsidRPr="00012130">
        <w:rPr>
          <w:rFonts w:ascii="Arial" w:hAnsi="Arial" w:cs="Arial"/>
          <w:color w:val="010000"/>
          <w:sz w:val="20"/>
        </w:rPr>
        <w:t>Total number of bonds to be issued: Up to 56,000,000 Bonds</w:t>
      </w:r>
    </w:p>
    <w:p w14:paraId="1C3699E7" w14:textId="09AB5F55" w:rsidR="00E71411" w:rsidRPr="00012130" w:rsidRDefault="00F2307B" w:rsidP="00B60869">
      <w:pPr>
        <w:numPr>
          <w:ilvl w:val="0"/>
          <w:numId w:val="1"/>
        </w:numPr>
        <w:pBdr>
          <w:top w:val="nil"/>
          <w:left w:val="nil"/>
          <w:bottom w:val="nil"/>
          <w:right w:val="nil"/>
          <w:between w:val="nil"/>
        </w:pBdr>
        <w:tabs>
          <w:tab w:val="left" w:pos="270"/>
          <w:tab w:val="left" w:pos="360"/>
          <w:tab w:val="left" w:pos="1222"/>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Total issuance value (calculated by par value): </w:t>
      </w:r>
      <w:r w:rsidR="006271E4">
        <w:rPr>
          <w:rFonts w:ascii="Arial" w:hAnsi="Arial" w:cs="Arial"/>
          <w:color w:val="010000"/>
          <w:sz w:val="20"/>
        </w:rPr>
        <w:t xml:space="preserve">VND </w:t>
      </w:r>
      <w:bookmarkStart w:id="0" w:name="_GoBack"/>
      <w:bookmarkEnd w:id="0"/>
      <w:r w:rsidRPr="00012130">
        <w:rPr>
          <w:rFonts w:ascii="Arial" w:hAnsi="Arial" w:cs="Arial"/>
          <w:color w:val="010000"/>
          <w:sz w:val="20"/>
        </w:rPr>
        <w:t xml:space="preserve">5,600,000,000,000 at maximum </w:t>
      </w:r>
    </w:p>
    <w:p w14:paraId="75BB0556" w14:textId="77777777" w:rsidR="00E71411" w:rsidRPr="00012130" w:rsidRDefault="00F2307B" w:rsidP="00B60869">
      <w:pPr>
        <w:numPr>
          <w:ilvl w:val="0"/>
          <w:numId w:val="1"/>
        </w:numPr>
        <w:pBdr>
          <w:top w:val="nil"/>
          <w:left w:val="nil"/>
          <w:bottom w:val="nil"/>
          <w:right w:val="nil"/>
          <w:between w:val="nil"/>
        </w:pBdr>
        <w:tabs>
          <w:tab w:val="left" w:pos="270"/>
          <w:tab w:val="left" w:pos="360"/>
          <w:tab w:val="left" w:pos="1222"/>
        </w:tabs>
        <w:spacing w:after="120" w:line="360" w:lineRule="auto"/>
        <w:jc w:val="both"/>
        <w:rPr>
          <w:rFonts w:ascii="Arial" w:eastAsia="Arial" w:hAnsi="Arial" w:cs="Arial"/>
          <w:color w:val="010000"/>
          <w:sz w:val="20"/>
          <w:szCs w:val="20"/>
        </w:rPr>
      </w:pPr>
      <w:r w:rsidRPr="00012130">
        <w:rPr>
          <w:rFonts w:ascii="Arial" w:hAnsi="Arial" w:cs="Arial"/>
          <w:color w:val="010000"/>
          <w:sz w:val="20"/>
        </w:rPr>
        <w:t>Number of issuance rounds: Expected to be 6 rounds</w:t>
      </w:r>
    </w:p>
    <w:p w14:paraId="22C8ACF4" w14:textId="6FDE2BDA"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Expected rounds of issuance </w:t>
      </w:r>
      <w:r w:rsidR="005B7AC5" w:rsidRPr="00012130">
        <w:rPr>
          <w:rFonts w:ascii="Arial" w:hAnsi="Arial" w:cs="Arial"/>
          <w:color w:val="010000"/>
          <w:sz w:val="20"/>
        </w:rPr>
        <w:t xml:space="preserve">are </w:t>
      </w:r>
      <w:r w:rsidRPr="00012130">
        <w:rPr>
          <w:rFonts w:ascii="Arial" w:hAnsi="Arial" w:cs="Arial"/>
          <w:color w:val="010000"/>
          <w:sz w:val="20"/>
        </w:rPr>
        <w:t>as follows:</w:t>
      </w:r>
    </w:p>
    <w:tbl>
      <w:tblPr>
        <w:tblStyle w:val="a"/>
        <w:tblW w:w="5000" w:type="pct"/>
        <w:tblLook w:val="0400" w:firstRow="0" w:lastRow="0" w:firstColumn="0" w:lastColumn="0" w:noHBand="0" w:noVBand="1"/>
      </w:tblPr>
      <w:tblGrid>
        <w:gridCol w:w="941"/>
        <w:gridCol w:w="2169"/>
        <w:gridCol w:w="2035"/>
        <w:gridCol w:w="3901"/>
      </w:tblGrid>
      <w:tr w:rsidR="00E71411" w:rsidRPr="00012130" w14:paraId="6F8E7AD6" w14:textId="77777777" w:rsidTr="00F2307B">
        <w:tc>
          <w:tcPr>
            <w:tcW w:w="520" w:type="pct"/>
            <w:tcBorders>
              <w:top w:val="single" w:sz="4" w:space="0" w:color="000000"/>
              <w:left w:val="single" w:sz="4" w:space="0" w:color="000000"/>
            </w:tcBorders>
            <w:shd w:val="clear" w:color="auto" w:fill="auto"/>
            <w:tcMar>
              <w:top w:w="0" w:type="dxa"/>
              <w:bottom w:w="0" w:type="dxa"/>
            </w:tcMar>
            <w:vAlign w:val="center"/>
          </w:tcPr>
          <w:p w14:paraId="079FD819"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w:t>
            </w:r>
          </w:p>
        </w:tc>
        <w:tc>
          <w:tcPr>
            <w:tcW w:w="1199" w:type="pct"/>
            <w:tcBorders>
              <w:top w:val="single" w:sz="4" w:space="0" w:color="000000"/>
              <w:left w:val="single" w:sz="4" w:space="0" w:color="000000"/>
              <w:right w:val="single" w:sz="4" w:space="0" w:color="auto"/>
            </w:tcBorders>
            <w:shd w:val="clear" w:color="auto" w:fill="auto"/>
            <w:tcMar>
              <w:top w:w="0" w:type="dxa"/>
              <w:bottom w:w="0" w:type="dxa"/>
            </w:tcMar>
            <w:vAlign w:val="center"/>
          </w:tcPr>
          <w:p w14:paraId="1A31E730"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Number of offered bonds</w:t>
            </w: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77EE772"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Total value of bonds</w:t>
            </w:r>
          </w:p>
          <w:p w14:paraId="2A81AD13"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(Billion VND)</w:t>
            </w:r>
          </w:p>
        </w:tc>
        <w:tc>
          <w:tcPr>
            <w:tcW w:w="2156"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BD96F4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Expected issuance time</w:t>
            </w:r>
          </w:p>
        </w:tc>
      </w:tr>
      <w:tr w:rsidR="00E71411" w:rsidRPr="00012130" w14:paraId="27D12350" w14:textId="77777777" w:rsidTr="00F2307B">
        <w:tc>
          <w:tcPr>
            <w:tcW w:w="520" w:type="pct"/>
            <w:tcBorders>
              <w:top w:val="single" w:sz="4" w:space="0" w:color="000000"/>
              <w:left w:val="single" w:sz="4" w:space="0" w:color="000000"/>
            </w:tcBorders>
            <w:shd w:val="clear" w:color="auto" w:fill="auto"/>
            <w:tcMar>
              <w:top w:w="0" w:type="dxa"/>
              <w:bottom w:w="0" w:type="dxa"/>
            </w:tcMar>
            <w:vAlign w:val="center"/>
          </w:tcPr>
          <w:p w14:paraId="480B5C9A"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1</w:t>
            </w:r>
          </w:p>
        </w:tc>
        <w:tc>
          <w:tcPr>
            <w:tcW w:w="1199" w:type="pct"/>
            <w:tcBorders>
              <w:top w:val="single" w:sz="4" w:space="0" w:color="000000"/>
              <w:left w:val="single" w:sz="4" w:space="0" w:color="000000"/>
            </w:tcBorders>
            <w:shd w:val="clear" w:color="auto" w:fill="auto"/>
            <w:tcMar>
              <w:top w:w="0" w:type="dxa"/>
              <w:bottom w:w="0" w:type="dxa"/>
            </w:tcMar>
            <w:vAlign w:val="center"/>
          </w:tcPr>
          <w:p w14:paraId="76EC595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15,000,000</w:t>
            </w:r>
          </w:p>
        </w:tc>
        <w:tc>
          <w:tcPr>
            <w:tcW w:w="1125" w:type="pct"/>
            <w:tcBorders>
              <w:top w:val="single" w:sz="4" w:space="0" w:color="auto"/>
              <w:left w:val="single" w:sz="4" w:space="0" w:color="000000"/>
            </w:tcBorders>
            <w:shd w:val="clear" w:color="auto" w:fill="auto"/>
            <w:tcMar>
              <w:top w:w="0" w:type="dxa"/>
              <w:bottom w:w="0" w:type="dxa"/>
            </w:tcMar>
            <w:vAlign w:val="center"/>
          </w:tcPr>
          <w:p w14:paraId="642C0677"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w:t>
            </w:r>
          </w:p>
        </w:tc>
        <w:tc>
          <w:tcPr>
            <w:tcW w:w="2156" w:type="pct"/>
            <w:tcBorders>
              <w:top w:val="single" w:sz="4" w:space="0" w:color="auto"/>
              <w:left w:val="single" w:sz="4" w:space="0" w:color="000000"/>
              <w:right w:val="single" w:sz="4" w:space="0" w:color="000000"/>
            </w:tcBorders>
            <w:shd w:val="clear" w:color="auto" w:fill="auto"/>
            <w:tcMar>
              <w:top w:w="0" w:type="dxa"/>
              <w:bottom w:w="0" w:type="dxa"/>
            </w:tcMar>
            <w:vAlign w:val="center"/>
          </w:tcPr>
          <w:p w14:paraId="0800F55A"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Q1/2024</w:t>
            </w:r>
          </w:p>
        </w:tc>
      </w:tr>
      <w:tr w:rsidR="00E71411" w:rsidRPr="00012130" w14:paraId="2024710D" w14:textId="77777777" w:rsidTr="00F2307B">
        <w:tc>
          <w:tcPr>
            <w:tcW w:w="520" w:type="pct"/>
            <w:tcBorders>
              <w:top w:val="single" w:sz="4" w:space="0" w:color="000000"/>
              <w:left w:val="single" w:sz="4" w:space="0" w:color="000000"/>
            </w:tcBorders>
            <w:shd w:val="clear" w:color="auto" w:fill="auto"/>
            <w:tcMar>
              <w:top w:w="0" w:type="dxa"/>
              <w:bottom w:w="0" w:type="dxa"/>
            </w:tcMar>
            <w:vAlign w:val="center"/>
          </w:tcPr>
          <w:p w14:paraId="1D446E9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2</w:t>
            </w:r>
          </w:p>
        </w:tc>
        <w:tc>
          <w:tcPr>
            <w:tcW w:w="1199" w:type="pct"/>
            <w:tcBorders>
              <w:top w:val="single" w:sz="4" w:space="0" w:color="000000"/>
              <w:left w:val="single" w:sz="4" w:space="0" w:color="000000"/>
            </w:tcBorders>
            <w:shd w:val="clear" w:color="auto" w:fill="auto"/>
            <w:tcMar>
              <w:top w:w="0" w:type="dxa"/>
              <w:bottom w:w="0" w:type="dxa"/>
            </w:tcMar>
            <w:vAlign w:val="center"/>
          </w:tcPr>
          <w:p w14:paraId="65531EA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7,000,000</w:t>
            </w:r>
          </w:p>
        </w:tc>
        <w:tc>
          <w:tcPr>
            <w:tcW w:w="1125" w:type="pct"/>
            <w:tcBorders>
              <w:top w:val="single" w:sz="4" w:space="0" w:color="000000"/>
              <w:left w:val="single" w:sz="4" w:space="0" w:color="000000"/>
            </w:tcBorders>
            <w:shd w:val="clear" w:color="auto" w:fill="auto"/>
            <w:tcMar>
              <w:top w:w="0" w:type="dxa"/>
              <w:bottom w:w="0" w:type="dxa"/>
            </w:tcMar>
            <w:vAlign w:val="center"/>
          </w:tcPr>
          <w:p w14:paraId="40CB9BF3"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w:t>
            </w:r>
          </w:p>
        </w:tc>
        <w:tc>
          <w:tcPr>
            <w:tcW w:w="21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2A845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Q2/2024 - Q3/2024</w:t>
            </w:r>
          </w:p>
        </w:tc>
      </w:tr>
      <w:tr w:rsidR="00E71411" w:rsidRPr="00012130" w14:paraId="1521E7C0" w14:textId="77777777" w:rsidTr="005B7AC5">
        <w:tc>
          <w:tcPr>
            <w:tcW w:w="520" w:type="pct"/>
            <w:tcBorders>
              <w:top w:val="single" w:sz="4" w:space="0" w:color="000000"/>
              <w:left w:val="single" w:sz="4" w:space="0" w:color="000000"/>
              <w:bottom w:val="single" w:sz="4" w:space="0" w:color="auto"/>
            </w:tcBorders>
            <w:shd w:val="clear" w:color="auto" w:fill="auto"/>
            <w:tcMar>
              <w:top w:w="0" w:type="dxa"/>
              <w:bottom w:w="0" w:type="dxa"/>
            </w:tcMar>
            <w:vAlign w:val="center"/>
          </w:tcPr>
          <w:p w14:paraId="3111B8F8"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3</w:t>
            </w:r>
          </w:p>
        </w:tc>
        <w:tc>
          <w:tcPr>
            <w:tcW w:w="1199" w:type="pct"/>
            <w:tcBorders>
              <w:top w:val="single" w:sz="4" w:space="0" w:color="000000"/>
              <w:left w:val="single" w:sz="4" w:space="0" w:color="000000"/>
              <w:bottom w:val="single" w:sz="4" w:space="0" w:color="auto"/>
            </w:tcBorders>
            <w:shd w:val="clear" w:color="auto" w:fill="auto"/>
            <w:tcMar>
              <w:top w:w="0" w:type="dxa"/>
              <w:bottom w:w="0" w:type="dxa"/>
            </w:tcMar>
            <w:vAlign w:val="center"/>
          </w:tcPr>
          <w:p w14:paraId="0FF1D33F"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6,000,000</w:t>
            </w:r>
          </w:p>
        </w:tc>
        <w:tc>
          <w:tcPr>
            <w:tcW w:w="1125" w:type="pct"/>
            <w:tcBorders>
              <w:top w:val="single" w:sz="4" w:space="0" w:color="000000"/>
              <w:left w:val="single" w:sz="4" w:space="0" w:color="000000"/>
              <w:bottom w:val="single" w:sz="4" w:space="0" w:color="auto"/>
            </w:tcBorders>
            <w:shd w:val="clear" w:color="auto" w:fill="auto"/>
            <w:tcMar>
              <w:top w:w="0" w:type="dxa"/>
              <w:bottom w:w="0" w:type="dxa"/>
            </w:tcMar>
            <w:vAlign w:val="center"/>
          </w:tcPr>
          <w:p w14:paraId="4B41C07F"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w:t>
            </w:r>
          </w:p>
        </w:tc>
        <w:tc>
          <w:tcPr>
            <w:tcW w:w="215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482B336"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Q3/2024 - Q4/2024</w:t>
            </w:r>
          </w:p>
        </w:tc>
      </w:tr>
      <w:tr w:rsidR="00E71411" w:rsidRPr="00012130" w14:paraId="63B69D2F" w14:textId="77777777" w:rsidTr="005B7AC5">
        <w:tc>
          <w:tcPr>
            <w:tcW w:w="52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0C46F04"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4</w:t>
            </w:r>
          </w:p>
        </w:tc>
        <w:tc>
          <w:tcPr>
            <w:tcW w:w="1199"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AE3C41F"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15,000,000</w:t>
            </w: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EE7A0A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w:t>
            </w:r>
          </w:p>
        </w:tc>
        <w:tc>
          <w:tcPr>
            <w:tcW w:w="2156" w:type="pct"/>
            <w:tcBorders>
              <w:top w:val="single" w:sz="4" w:space="0" w:color="000000"/>
              <w:left w:val="single" w:sz="4" w:space="0" w:color="auto"/>
              <w:right w:val="single" w:sz="4" w:space="0" w:color="000000"/>
            </w:tcBorders>
            <w:shd w:val="clear" w:color="auto" w:fill="auto"/>
            <w:tcMar>
              <w:top w:w="0" w:type="dxa"/>
              <w:bottom w:w="0" w:type="dxa"/>
            </w:tcMar>
            <w:vAlign w:val="center"/>
          </w:tcPr>
          <w:p w14:paraId="070B9DEF"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Q1/2025 - Q2/2025</w:t>
            </w:r>
          </w:p>
        </w:tc>
      </w:tr>
      <w:tr w:rsidR="00E71411" w:rsidRPr="00012130" w14:paraId="376D2359" w14:textId="77777777" w:rsidTr="005B7AC5">
        <w:tc>
          <w:tcPr>
            <w:tcW w:w="52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FB8F93A"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5</w:t>
            </w:r>
          </w:p>
        </w:tc>
        <w:tc>
          <w:tcPr>
            <w:tcW w:w="1199"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63E0827"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7,000,000</w:t>
            </w:r>
          </w:p>
        </w:tc>
        <w:tc>
          <w:tcPr>
            <w:tcW w:w="112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4CB912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w:t>
            </w:r>
          </w:p>
        </w:tc>
        <w:tc>
          <w:tcPr>
            <w:tcW w:w="2156" w:type="pct"/>
            <w:tcBorders>
              <w:top w:val="single" w:sz="4" w:space="0" w:color="000000"/>
              <w:left w:val="single" w:sz="4" w:space="0" w:color="auto"/>
              <w:right w:val="single" w:sz="4" w:space="0" w:color="000000"/>
            </w:tcBorders>
            <w:shd w:val="clear" w:color="auto" w:fill="auto"/>
            <w:tcMar>
              <w:top w:w="0" w:type="dxa"/>
              <w:bottom w:w="0" w:type="dxa"/>
            </w:tcMar>
            <w:vAlign w:val="center"/>
          </w:tcPr>
          <w:p w14:paraId="008CDFAA"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Q2/2025 - Q3/2025</w:t>
            </w:r>
          </w:p>
        </w:tc>
      </w:tr>
      <w:tr w:rsidR="00E71411" w:rsidRPr="00012130" w14:paraId="12197B74" w14:textId="77777777" w:rsidTr="005B7AC5">
        <w:tc>
          <w:tcPr>
            <w:tcW w:w="520"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70F1D5B6"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Round 6</w:t>
            </w:r>
          </w:p>
        </w:tc>
        <w:tc>
          <w:tcPr>
            <w:tcW w:w="1199"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08A09E42"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6,000,000</w:t>
            </w:r>
          </w:p>
        </w:tc>
        <w:tc>
          <w:tcPr>
            <w:tcW w:w="1125"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14E3F643"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w:t>
            </w:r>
          </w:p>
        </w:tc>
        <w:tc>
          <w:tcPr>
            <w:tcW w:w="215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86B293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Q3/2025 - Q4/2025</w:t>
            </w:r>
          </w:p>
        </w:tc>
      </w:tr>
    </w:tbl>
    <w:p w14:paraId="76A1BB66"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In case bonds are not fully issued in each round, the remaining bonds will be transferred to the next round.</w:t>
      </w:r>
    </w:p>
    <w:p w14:paraId="359F22FA"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The General Manager or the person authorized by the General Manager decides the issuance time, adjusts the number of issuance rounds, adjusts the quantity issued, and the time of each issuance (if any) based on the market's consumption capacity, ensuring not to exceed the planned total number of issued bonds.</w:t>
      </w:r>
    </w:p>
    <w:p w14:paraId="350DB274"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6. Interest rate: Up to 8.0%/year </w:t>
      </w:r>
    </w:p>
    <w:p w14:paraId="6983D99D"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lastRenderedPageBreak/>
        <w:t>7. Term: Up to 08 years from the date of issuance</w:t>
      </w:r>
    </w:p>
    <w:p w14:paraId="02405533"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8. Issuance method: Sell directly through branches, transaction offices of </w:t>
      </w:r>
      <w:proofErr w:type="spellStart"/>
      <w:r w:rsidRPr="00012130">
        <w:rPr>
          <w:rFonts w:ascii="Arial" w:hAnsi="Arial" w:cs="Arial"/>
          <w:color w:val="010000"/>
          <w:sz w:val="20"/>
        </w:rPr>
        <w:t>BVBank</w:t>
      </w:r>
      <w:proofErr w:type="spellEnd"/>
      <w:r w:rsidRPr="00012130">
        <w:rPr>
          <w:rFonts w:ascii="Arial" w:hAnsi="Arial" w:cs="Arial"/>
          <w:color w:val="010000"/>
          <w:sz w:val="20"/>
        </w:rPr>
        <w:t>, and/or through issuing agents.</w:t>
      </w:r>
    </w:p>
    <w:p w14:paraId="79112DFC"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9. Repurchase bonds before maturity:</w:t>
      </w:r>
    </w:p>
    <w:p w14:paraId="231E200D" w14:textId="09C3625E" w:rsidR="00E71411" w:rsidRPr="00012130" w:rsidRDefault="00F2307B" w:rsidP="00B60869">
      <w:pPr>
        <w:numPr>
          <w:ilvl w:val="0"/>
          <w:numId w:val="1"/>
        </w:numPr>
        <w:pBdr>
          <w:top w:val="nil"/>
          <w:left w:val="nil"/>
          <w:bottom w:val="nil"/>
          <w:right w:val="nil"/>
          <w:between w:val="nil"/>
        </w:pBdr>
        <w:tabs>
          <w:tab w:val="left" w:pos="270"/>
          <w:tab w:val="left" w:pos="307"/>
          <w:tab w:val="left" w:pos="360"/>
        </w:tabs>
        <w:spacing w:after="120" w:line="360" w:lineRule="auto"/>
        <w:jc w:val="both"/>
        <w:rPr>
          <w:rFonts w:ascii="Arial" w:eastAsia="Arial" w:hAnsi="Arial" w:cs="Arial"/>
          <w:color w:val="010000"/>
          <w:sz w:val="20"/>
          <w:szCs w:val="20"/>
        </w:rPr>
      </w:pPr>
      <w:proofErr w:type="spellStart"/>
      <w:r w:rsidRPr="00012130">
        <w:rPr>
          <w:rFonts w:ascii="Arial" w:hAnsi="Arial" w:cs="Arial"/>
          <w:color w:val="010000"/>
          <w:sz w:val="20"/>
        </w:rPr>
        <w:t>BVBank</w:t>
      </w:r>
      <w:proofErr w:type="spellEnd"/>
      <w:r w:rsidRPr="00012130">
        <w:rPr>
          <w:rFonts w:ascii="Arial" w:hAnsi="Arial" w:cs="Arial"/>
          <w:color w:val="010000"/>
          <w:sz w:val="20"/>
        </w:rPr>
        <w:t xml:space="preserve"> has the right to repurchase a maximum of 100% of the issued bond from the Repurchase </w:t>
      </w:r>
      <w:r w:rsidR="005B7AC5" w:rsidRPr="00012130">
        <w:rPr>
          <w:rFonts w:ascii="Arial" w:hAnsi="Arial" w:cs="Arial"/>
          <w:color w:val="010000"/>
          <w:sz w:val="20"/>
        </w:rPr>
        <w:t xml:space="preserve">Rights Exercise </w:t>
      </w:r>
      <w:r w:rsidRPr="00012130">
        <w:rPr>
          <w:rFonts w:ascii="Arial" w:hAnsi="Arial" w:cs="Arial"/>
          <w:color w:val="010000"/>
          <w:sz w:val="20"/>
        </w:rPr>
        <w:t xml:space="preserve">Date or on a different repurchase date. Accordingly, the Bondholders are obligated to sell all Bonds back to </w:t>
      </w:r>
      <w:proofErr w:type="spellStart"/>
      <w:r w:rsidRPr="00012130">
        <w:rPr>
          <w:rFonts w:ascii="Arial" w:hAnsi="Arial" w:cs="Arial"/>
          <w:color w:val="010000"/>
          <w:sz w:val="20"/>
        </w:rPr>
        <w:t>BVBank</w:t>
      </w:r>
      <w:proofErr w:type="spellEnd"/>
      <w:r w:rsidRPr="00012130">
        <w:rPr>
          <w:rFonts w:ascii="Arial" w:hAnsi="Arial" w:cs="Arial"/>
          <w:color w:val="010000"/>
          <w:sz w:val="20"/>
        </w:rPr>
        <w:t xml:space="preserve"> and receive 100% of the principal amount of the Bonds and accrued unpaid interest.</w:t>
      </w:r>
    </w:p>
    <w:p w14:paraId="55C054BC" w14:textId="18F5176C" w:rsidR="00E71411" w:rsidRPr="00012130" w:rsidRDefault="005B7AC5" w:rsidP="00B60869">
      <w:pPr>
        <w:numPr>
          <w:ilvl w:val="0"/>
          <w:numId w:val="1"/>
        </w:numPr>
        <w:pBdr>
          <w:top w:val="nil"/>
          <w:left w:val="nil"/>
          <w:bottom w:val="nil"/>
          <w:right w:val="nil"/>
          <w:between w:val="nil"/>
        </w:pBdr>
        <w:tabs>
          <w:tab w:val="left" w:pos="270"/>
          <w:tab w:val="left" w:pos="360"/>
          <w:tab w:val="left" w:pos="957"/>
        </w:tabs>
        <w:spacing w:after="120" w:line="360" w:lineRule="auto"/>
        <w:jc w:val="both"/>
        <w:rPr>
          <w:rFonts w:ascii="Arial" w:eastAsia="Arial" w:hAnsi="Arial" w:cs="Arial"/>
          <w:color w:val="010000"/>
          <w:sz w:val="20"/>
          <w:szCs w:val="20"/>
        </w:rPr>
      </w:pPr>
      <w:r w:rsidRPr="00012130">
        <w:rPr>
          <w:rFonts w:ascii="Arial" w:hAnsi="Arial" w:cs="Arial"/>
          <w:color w:val="010000"/>
          <w:sz w:val="20"/>
        </w:rPr>
        <w:t>Repurchase Rights Exercise Date</w:t>
      </w:r>
      <w:r w:rsidR="00F2307B" w:rsidRPr="00012130">
        <w:rPr>
          <w:rFonts w:ascii="Arial" w:hAnsi="Arial" w:cs="Arial"/>
          <w:color w:val="010000"/>
          <w:sz w:val="20"/>
        </w:rPr>
        <w:t xml:space="preserve">: </w:t>
      </w:r>
      <w:r w:rsidRPr="00012130">
        <w:rPr>
          <w:rFonts w:ascii="Arial" w:hAnsi="Arial" w:cs="Arial"/>
          <w:color w:val="010000"/>
          <w:sz w:val="20"/>
        </w:rPr>
        <w:t>a</w:t>
      </w:r>
      <w:r w:rsidR="00F2307B" w:rsidRPr="00012130">
        <w:rPr>
          <w:rFonts w:ascii="Arial" w:hAnsi="Arial" w:cs="Arial"/>
          <w:color w:val="010000"/>
          <w:sz w:val="20"/>
        </w:rPr>
        <w:t>fter 12 months from the issue date</w:t>
      </w:r>
    </w:p>
    <w:p w14:paraId="4E7F8B1C"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10. Interest payment term: Periodically once a year.</w:t>
      </w:r>
    </w:p>
    <w:p w14:paraId="0E0890B5"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11. Payment method of bond principal and interest:</w:t>
      </w:r>
    </w:p>
    <w:p w14:paraId="79A439EE" w14:textId="2600644D" w:rsidR="00E71411" w:rsidRPr="00012130" w:rsidRDefault="00F2307B" w:rsidP="00B60869">
      <w:pPr>
        <w:numPr>
          <w:ilvl w:val="0"/>
          <w:numId w:val="1"/>
        </w:numPr>
        <w:pBdr>
          <w:top w:val="nil"/>
          <w:left w:val="nil"/>
          <w:bottom w:val="nil"/>
          <w:right w:val="nil"/>
          <w:between w:val="nil"/>
        </w:pBdr>
        <w:tabs>
          <w:tab w:val="left" w:pos="270"/>
          <w:tab w:val="left" w:pos="307"/>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Principal is lump-sum paid at maturity or on </w:t>
      </w:r>
      <w:r w:rsidR="005B7AC5" w:rsidRPr="00012130">
        <w:rPr>
          <w:rFonts w:ascii="Arial" w:hAnsi="Arial" w:cs="Arial"/>
          <w:color w:val="010000"/>
          <w:sz w:val="20"/>
        </w:rPr>
        <w:t>the repurchase</w:t>
      </w:r>
      <w:r w:rsidRPr="00012130">
        <w:rPr>
          <w:rFonts w:ascii="Arial" w:hAnsi="Arial" w:cs="Arial"/>
          <w:color w:val="010000"/>
          <w:sz w:val="20"/>
        </w:rPr>
        <w:t xml:space="preserve"> date before maturity according to regulations.</w:t>
      </w:r>
    </w:p>
    <w:p w14:paraId="2C4F58EC" w14:textId="06F41E46" w:rsidR="00E71411" w:rsidRPr="00012130" w:rsidRDefault="00F2307B" w:rsidP="00B60869">
      <w:pPr>
        <w:numPr>
          <w:ilvl w:val="0"/>
          <w:numId w:val="1"/>
        </w:numPr>
        <w:pBdr>
          <w:top w:val="nil"/>
          <w:left w:val="nil"/>
          <w:bottom w:val="nil"/>
          <w:right w:val="nil"/>
          <w:between w:val="nil"/>
        </w:pBdr>
        <w:tabs>
          <w:tab w:val="left" w:pos="270"/>
          <w:tab w:val="left" w:pos="360"/>
          <w:tab w:val="left" w:pos="957"/>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Interest is paid </w:t>
      </w:r>
      <w:r w:rsidR="005B7AC5" w:rsidRPr="00012130">
        <w:rPr>
          <w:rFonts w:ascii="Arial" w:hAnsi="Arial" w:cs="Arial"/>
          <w:color w:val="010000"/>
          <w:sz w:val="20"/>
        </w:rPr>
        <w:t>in arrears</w:t>
      </w:r>
      <w:r w:rsidRPr="00012130">
        <w:rPr>
          <w:rFonts w:ascii="Arial" w:hAnsi="Arial" w:cs="Arial"/>
          <w:color w:val="010000"/>
          <w:sz w:val="20"/>
        </w:rPr>
        <w:t>, once annually.</w:t>
      </w:r>
    </w:p>
    <w:p w14:paraId="7B131A24" w14:textId="7FF86034" w:rsidR="00E71411" w:rsidRPr="00012130" w:rsidRDefault="00ED7DB6" w:rsidP="00B60869">
      <w:pPr>
        <w:numPr>
          <w:ilvl w:val="0"/>
          <w:numId w:val="3"/>
        </w:numPr>
        <w:pBdr>
          <w:top w:val="nil"/>
          <w:left w:val="nil"/>
          <w:bottom w:val="nil"/>
          <w:right w:val="nil"/>
          <w:between w:val="nil"/>
        </w:pBdr>
        <w:tabs>
          <w:tab w:val="left" w:pos="270"/>
          <w:tab w:val="left" w:pos="360"/>
          <w:tab w:val="left" w:pos="691"/>
        </w:tabs>
        <w:spacing w:after="120" w:line="360" w:lineRule="auto"/>
        <w:jc w:val="both"/>
        <w:rPr>
          <w:rFonts w:ascii="Arial" w:eastAsia="Arial" w:hAnsi="Arial" w:cs="Arial"/>
          <w:color w:val="010000"/>
          <w:sz w:val="20"/>
          <w:szCs w:val="20"/>
        </w:rPr>
      </w:pPr>
      <w:r w:rsidRPr="00012130">
        <w:rPr>
          <w:rFonts w:ascii="Arial" w:hAnsi="Arial" w:cs="Arial"/>
          <w:color w:val="010000"/>
          <w:sz w:val="20"/>
        </w:rPr>
        <w:t>Centralized</w:t>
      </w:r>
      <w:r w:rsidR="005B7AC5" w:rsidRPr="00012130">
        <w:rPr>
          <w:rFonts w:ascii="Arial" w:hAnsi="Arial" w:cs="Arial"/>
          <w:color w:val="010000"/>
          <w:sz w:val="20"/>
        </w:rPr>
        <w:t xml:space="preserve"> r</w:t>
      </w:r>
      <w:r w:rsidR="00F2307B" w:rsidRPr="00012130">
        <w:rPr>
          <w:rFonts w:ascii="Arial" w:hAnsi="Arial" w:cs="Arial"/>
          <w:color w:val="010000"/>
          <w:sz w:val="20"/>
        </w:rPr>
        <w:t>egistration and listing of bonds:</w:t>
      </w:r>
    </w:p>
    <w:p w14:paraId="26DED110" w14:textId="02331791"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Bonds offered by </w:t>
      </w:r>
      <w:proofErr w:type="spellStart"/>
      <w:r w:rsidRPr="00012130">
        <w:rPr>
          <w:rFonts w:ascii="Arial" w:hAnsi="Arial" w:cs="Arial"/>
          <w:color w:val="010000"/>
          <w:sz w:val="20"/>
        </w:rPr>
        <w:t>BVBank</w:t>
      </w:r>
      <w:proofErr w:type="spellEnd"/>
      <w:r w:rsidRPr="00012130">
        <w:rPr>
          <w:rFonts w:ascii="Arial" w:hAnsi="Arial" w:cs="Arial"/>
          <w:color w:val="010000"/>
          <w:sz w:val="20"/>
        </w:rPr>
        <w:t xml:space="preserve"> to the public will be centrally registered at the Viet</w:t>
      </w:r>
      <w:r w:rsidR="00ED7DB6" w:rsidRPr="00012130">
        <w:rPr>
          <w:rFonts w:ascii="Arial" w:hAnsi="Arial" w:cs="Arial"/>
          <w:color w:val="010000"/>
          <w:sz w:val="20"/>
        </w:rPr>
        <w:t>n</w:t>
      </w:r>
      <w:r w:rsidRPr="00012130">
        <w:rPr>
          <w:rFonts w:ascii="Arial" w:hAnsi="Arial" w:cs="Arial"/>
          <w:color w:val="010000"/>
          <w:sz w:val="20"/>
        </w:rPr>
        <w:t>am Securities Depository and Clearing Corporation (VSDC) and listed on the trading system of the Hanoi Stock Exchange after the end of the offering.</w:t>
      </w:r>
    </w:p>
    <w:p w14:paraId="4D072190" w14:textId="77777777" w:rsidR="00E71411" w:rsidRPr="00012130" w:rsidRDefault="00F2307B" w:rsidP="00B60869">
      <w:pPr>
        <w:numPr>
          <w:ilvl w:val="0"/>
          <w:numId w:val="3"/>
        </w:numPr>
        <w:pBdr>
          <w:top w:val="nil"/>
          <w:left w:val="nil"/>
          <w:bottom w:val="nil"/>
          <w:right w:val="nil"/>
          <w:between w:val="nil"/>
        </w:pBdr>
        <w:tabs>
          <w:tab w:val="left" w:pos="270"/>
          <w:tab w:val="left" w:pos="360"/>
          <w:tab w:val="left" w:pos="691"/>
        </w:tabs>
        <w:spacing w:after="120" w:line="360" w:lineRule="auto"/>
        <w:jc w:val="both"/>
        <w:rPr>
          <w:rFonts w:ascii="Arial" w:eastAsia="Arial" w:hAnsi="Arial" w:cs="Arial"/>
          <w:color w:val="010000"/>
          <w:sz w:val="20"/>
          <w:szCs w:val="20"/>
        </w:rPr>
      </w:pPr>
      <w:r w:rsidRPr="00012130">
        <w:rPr>
          <w:rFonts w:ascii="Arial" w:hAnsi="Arial" w:cs="Arial"/>
          <w:color w:val="010000"/>
          <w:sz w:val="20"/>
        </w:rPr>
        <w:t>Capital use plan:</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3"/>
        <w:gridCol w:w="3463"/>
        <w:gridCol w:w="1178"/>
        <w:gridCol w:w="3562"/>
      </w:tblGrid>
      <w:tr w:rsidR="00E71411" w:rsidRPr="00012130" w14:paraId="572E4175" w14:textId="77777777" w:rsidTr="00F2307B">
        <w:tc>
          <w:tcPr>
            <w:tcW w:w="466" w:type="pct"/>
            <w:shd w:val="clear" w:color="auto" w:fill="auto"/>
            <w:tcMar>
              <w:top w:w="0" w:type="dxa"/>
              <w:bottom w:w="0" w:type="dxa"/>
            </w:tcMar>
            <w:vAlign w:val="center"/>
          </w:tcPr>
          <w:p w14:paraId="259F677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The issuance</w:t>
            </w:r>
          </w:p>
        </w:tc>
        <w:tc>
          <w:tcPr>
            <w:tcW w:w="1914" w:type="pct"/>
            <w:shd w:val="clear" w:color="auto" w:fill="auto"/>
            <w:tcMar>
              <w:top w:w="0" w:type="dxa"/>
              <w:bottom w:w="0" w:type="dxa"/>
            </w:tcMar>
            <w:vAlign w:val="center"/>
          </w:tcPr>
          <w:p w14:paraId="6F51AF2D"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Purposes of using capital</w:t>
            </w:r>
          </w:p>
        </w:tc>
        <w:tc>
          <w:tcPr>
            <w:tcW w:w="651" w:type="pct"/>
            <w:shd w:val="clear" w:color="auto" w:fill="auto"/>
            <w:tcMar>
              <w:top w:w="0" w:type="dxa"/>
              <w:bottom w:w="0" w:type="dxa"/>
            </w:tcMar>
            <w:vAlign w:val="center"/>
          </w:tcPr>
          <w:p w14:paraId="2BBA34D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Amount (Billion VND)</w:t>
            </w:r>
          </w:p>
        </w:tc>
        <w:tc>
          <w:tcPr>
            <w:tcW w:w="1969" w:type="pct"/>
            <w:shd w:val="clear" w:color="auto" w:fill="auto"/>
            <w:tcMar>
              <w:top w:w="0" w:type="dxa"/>
              <w:bottom w:w="0" w:type="dxa"/>
            </w:tcMar>
            <w:vAlign w:val="center"/>
          </w:tcPr>
          <w:p w14:paraId="218A716E"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Progress of capital use</w:t>
            </w:r>
          </w:p>
        </w:tc>
      </w:tr>
      <w:tr w:rsidR="00E71411" w:rsidRPr="00012130" w14:paraId="7E6FAB6C" w14:textId="77777777" w:rsidTr="00F2307B">
        <w:tc>
          <w:tcPr>
            <w:tcW w:w="466" w:type="pct"/>
            <w:shd w:val="clear" w:color="auto" w:fill="auto"/>
            <w:tcMar>
              <w:top w:w="0" w:type="dxa"/>
              <w:bottom w:w="0" w:type="dxa"/>
            </w:tcMar>
            <w:vAlign w:val="center"/>
          </w:tcPr>
          <w:p w14:paraId="2491FDB2"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1</w:t>
            </w:r>
          </w:p>
        </w:tc>
        <w:tc>
          <w:tcPr>
            <w:tcW w:w="1914" w:type="pct"/>
            <w:shd w:val="clear" w:color="auto" w:fill="auto"/>
            <w:tcMar>
              <w:top w:w="0" w:type="dxa"/>
              <w:bottom w:w="0" w:type="dxa"/>
            </w:tcMar>
            <w:vAlign w:val="center"/>
          </w:tcPr>
          <w:p w14:paraId="0FBE677D"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1694E760"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w:t>
            </w:r>
          </w:p>
        </w:tc>
        <w:tc>
          <w:tcPr>
            <w:tcW w:w="1969" w:type="pct"/>
            <w:shd w:val="clear" w:color="auto" w:fill="auto"/>
            <w:tcMar>
              <w:top w:w="0" w:type="dxa"/>
              <w:bottom w:w="0" w:type="dxa"/>
            </w:tcMar>
            <w:vAlign w:val="center"/>
          </w:tcPr>
          <w:p w14:paraId="697D13DB"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From Q2/2024 to Q3/2024</w:t>
            </w:r>
          </w:p>
        </w:tc>
      </w:tr>
      <w:tr w:rsidR="00E71411" w:rsidRPr="00012130" w14:paraId="36E8B030" w14:textId="77777777" w:rsidTr="00F2307B">
        <w:tc>
          <w:tcPr>
            <w:tcW w:w="466" w:type="pct"/>
            <w:shd w:val="clear" w:color="auto" w:fill="auto"/>
            <w:tcMar>
              <w:top w:w="0" w:type="dxa"/>
              <w:bottom w:w="0" w:type="dxa"/>
            </w:tcMar>
            <w:vAlign w:val="center"/>
          </w:tcPr>
          <w:p w14:paraId="1D103989"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2</w:t>
            </w:r>
          </w:p>
        </w:tc>
        <w:tc>
          <w:tcPr>
            <w:tcW w:w="1914" w:type="pct"/>
            <w:shd w:val="clear" w:color="auto" w:fill="auto"/>
            <w:tcMar>
              <w:top w:w="0" w:type="dxa"/>
              <w:bottom w:w="0" w:type="dxa"/>
            </w:tcMar>
            <w:vAlign w:val="center"/>
          </w:tcPr>
          <w:p w14:paraId="127BF472"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385D6B51"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w:t>
            </w:r>
          </w:p>
        </w:tc>
        <w:tc>
          <w:tcPr>
            <w:tcW w:w="1969" w:type="pct"/>
            <w:shd w:val="clear" w:color="auto" w:fill="auto"/>
            <w:tcMar>
              <w:top w:w="0" w:type="dxa"/>
              <w:bottom w:w="0" w:type="dxa"/>
            </w:tcMar>
            <w:vAlign w:val="center"/>
          </w:tcPr>
          <w:p w14:paraId="72EADB37"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From Q3/2024 to Q4/2024</w:t>
            </w:r>
          </w:p>
        </w:tc>
      </w:tr>
      <w:tr w:rsidR="00E71411" w:rsidRPr="00012130" w14:paraId="1BEB48BA" w14:textId="77777777" w:rsidTr="00F2307B">
        <w:tc>
          <w:tcPr>
            <w:tcW w:w="466" w:type="pct"/>
            <w:shd w:val="clear" w:color="auto" w:fill="auto"/>
            <w:tcMar>
              <w:top w:w="0" w:type="dxa"/>
              <w:bottom w:w="0" w:type="dxa"/>
            </w:tcMar>
            <w:vAlign w:val="center"/>
          </w:tcPr>
          <w:p w14:paraId="17BBE7CC"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3</w:t>
            </w:r>
          </w:p>
        </w:tc>
        <w:tc>
          <w:tcPr>
            <w:tcW w:w="1914" w:type="pct"/>
            <w:shd w:val="clear" w:color="auto" w:fill="auto"/>
            <w:tcMar>
              <w:top w:w="0" w:type="dxa"/>
              <w:bottom w:w="0" w:type="dxa"/>
            </w:tcMar>
            <w:vAlign w:val="center"/>
          </w:tcPr>
          <w:p w14:paraId="1EB84618"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1E65B70D"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w:t>
            </w:r>
          </w:p>
        </w:tc>
        <w:tc>
          <w:tcPr>
            <w:tcW w:w="1969" w:type="pct"/>
            <w:shd w:val="clear" w:color="auto" w:fill="auto"/>
            <w:tcMar>
              <w:top w:w="0" w:type="dxa"/>
              <w:bottom w:w="0" w:type="dxa"/>
            </w:tcMar>
            <w:vAlign w:val="center"/>
          </w:tcPr>
          <w:p w14:paraId="3F2C274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From Q1/2025 to Q2/2025</w:t>
            </w:r>
          </w:p>
        </w:tc>
      </w:tr>
      <w:tr w:rsidR="00E71411" w:rsidRPr="00012130" w14:paraId="072B82BE" w14:textId="77777777" w:rsidTr="00F2307B">
        <w:tc>
          <w:tcPr>
            <w:tcW w:w="466" w:type="pct"/>
            <w:shd w:val="clear" w:color="auto" w:fill="auto"/>
            <w:tcMar>
              <w:top w:w="0" w:type="dxa"/>
              <w:bottom w:w="0" w:type="dxa"/>
            </w:tcMar>
            <w:vAlign w:val="center"/>
          </w:tcPr>
          <w:p w14:paraId="2C51C610"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4</w:t>
            </w:r>
          </w:p>
        </w:tc>
        <w:tc>
          <w:tcPr>
            <w:tcW w:w="1914" w:type="pct"/>
            <w:shd w:val="clear" w:color="auto" w:fill="auto"/>
            <w:tcMar>
              <w:top w:w="0" w:type="dxa"/>
              <w:bottom w:w="0" w:type="dxa"/>
            </w:tcMar>
            <w:vAlign w:val="center"/>
          </w:tcPr>
          <w:p w14:paraId="58281A05"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157B133A"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1,500</w:t>
            </w:r>
          </w:p>
        </w:tc>
        <w:tc>
          <w:tcPr>
            <w:tcW w:w="1969" w:type="pct"/>
            <w:shd w:val="clear" w:color="auto" w:fill="auto"/>
            <w:tcMar>
              <w:top w:w="0" w:type="dxa"/>
              <w:bottom w:w="0" w:type="dxa"/>
            </w:tcMar>
            <w:vAlign w:val="center"/>
          </w:tcPr>
          <w:p w14:paraId="2D9D50A5"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From Q2/2025 to Q3/2025</w:t>
            </w:r>
          </w:p>
        </w:tc>
      </w:tr>
      <w:tr w:rsidR="00E71411" w:rsidRPr="00012130" w14:paraId="6ED0336B" w14:textId="77777777" w:rsidTr="00F2307B">
        <w:tc>
          <w:tcPr>
            <w:tcW w:w="466" w:type="pct"/>
            <w:shd w:val="clear" w:color="auto" w:fill="auto"/>
            <w:tcMar>
              <w:top w:w="0" w:type="dxa"/>
              <w:bottom w:w="0" w:type="dxa"/>
            </w:tcMar>
            <w:vAlign w:val="center"/>
          </w:tcPr>
          <w:p w14:paraId="2B435A5D"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5</w:t>
            </w:r>
          </w:p>
        </w:tc>
        <w:tc>
          <w:tcPr>
            <w:tcW w:w="1914" w:type="pct"/>
            <w:shd w:val="clear" w:color="auto" w:fill="auto"/>
            <w:tcMar>
              <w:top w:w="0" w:type="dxa"/>
              <w:bottom w:w="0" w:type="dxa"/>
            </w:tcMar>
            <w:vAlign w:val="center"/>
          </w:tcPr>
          <w:p w14:paraId="51EE631F"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415D8516"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700</w:t>
            </w:r>
          </w:p>
        </w:tc>
        <w:tc>
          <w:tcPr>
            <w:tcW w:w="1969" w:type="pct"/>
            <w:shd w:val="clear" w:color="auto" w:fill="auto"/>
            <w:tcMar>
              <w:top w:w="0" w:type="dxa"/>
              <w:bottom w:w="0" w:type="dxa"/>
            </w:tcMar>
            <w:vAlign w:val="center"/>
          </w:tcPr>
          <w:p w14:paraId="3BC77B41"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From Q3/2025 to Q4/2025</w:t>
            </w:r>
          </w:p>
        </w:tc>
      </w:tr>
      <w:tr w:rsidR="00E71411" w:rsidRPr="00012130" w14:paraId="694BFC3B" w14:textId="77777777" w:rsidTr="00F2307B">
        <w:tc>
          <w:tcPr>
            <w:tcW w:w="466" w:type="pct"/>
            <w:shd w:val="clear" w:color="auto" w:fill="auto"/>
            <w:tcMar>
              <w:top w:w="0" w:type="dxa"/>
              <w:bottom w:w="0" w:type="dxa"/>
            </w:tcMar>
            <w:vAlign w:val="center"/>
          </w:tcPr>
          <w:p w14:paraId="445182A9"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6</w:t>
            </w:r>
          </w:p>
        </w:tc>
        <w:tc>
          <w:tcPr>
            <w:tcW w:w="1914" w:type="pct"/>
            <w:shd w:val="clear" w:color="auto" w:fill="auto"/>
            <w:tcMar>
              <w:top w:w="0" w:type="dxa"/>
              <w:bottom w:w="0" w:type="dxa"/>
            </w:tcMar>
            <w:vAlign w:val="center"/>
          </w:tcPr>
          <w:p w14:paraId="060E71BA" w14:textId="77777777" w:rsidR="00E71411" w:rsidRPr="00012130" w:rsidRDefault="00F2307B" w:rsidP="00ED7DB6">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012130">
              <w:rPr>
                <w:rFonts w:ascii="Arial" w:hAnsi="Arial" w:cs="Arial"/>
                <w:color w:val="010000"/>
                <w:sz w:val="20"/>
              </w:rPr>
              <w:t>Supplementing capital for mid to long-term loans for customers.</w:t>
            </w:r>
          </w:p>
        </w:tc>
        <w:tc>
          <w:tcPr>
            <w:tcW w:w="651" w:type="pct"/>
            <w:shd w:val="clear" w:color="auto" w:fill="auto"/>
            <w:tcMar>
              <w:top w:w="0" w:type="dxa"/>
              <w:bottom w:w="0" w:type="dxa"/>
            </w:tcMar>
            <w:vAlign w:val="center"/>
          </w:tcPr>
          <w:p w14:paraId="732DA85C"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600</w:t>
            </w:r>
          </w:p>
        </w:tc>
        <w:tc>
          <w:tcPr>
            <w:tcW w:w="1969" w:type="pct"/>
            <w:shd w:val="clear" w:color="auto" w:fill="auto"/>
            <w:tcMar>
              <w:top w:w="0" w:type="dxa"/>
              <w:bottom w:w="0" w:type="dxa"/>
            </w:tcMar>
            <w:vAlign w:val="center"/>
          </w:tcPr>
          <w:p w14:paraId="39A0CFAD" w14:textId="1722182F"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t xml:space="preserve">From Q4/2025 </w:t>
            </w:r>
            <w:r w:rsidR="000E6C28" w:rsidRPr="00012130">
              <w:rPr>
                <w:rFonts w:ascii="Arial" w:hAnsi="Arial" w:cs="Arial"/>
                <w:color w:val="010000"/>
                <w:sz w:val="20"/>
              </w:rPr>
              <w:t xml:space="preserve">to </w:t>
            </w:r>
            <w:r w:rsidRPr="00012130">
              <w:rPr>
                <w:rFonts w:ascii="Arial" w:hAnsi="Arial" w:cs="Arial"/>
                <w:color w:val="010000"/>
                <w:sz w:val="20"/>
              </w:rPr>
              <w:t>Q1/2026</w:t>
            </w:r>
          </w:p>
        </w:tc>
      </w:tr>
      <w:tr w:rsidR="00E71411" w:rsidRPr="00012130" w14:paraId="182D9215" w14:textId="77777777" w:rsidTr="00F2307B">
        <w:tc>
          <w:tcPr>
            <w:tcW w:w="2380" w:type="pct"/>
            <w:gridSpan w:val="2"/>
            <w:shd w:val="clear" w:color="auto" w:fill="auto"/>
            <w:tcMar>
              <w:top w:w="0" w:type="dxa"/>
              <w:bottom w:w="0" w:type="dxa"/>
            </w:tcMar>
            <w:vAlign w:val="center"/>
          </w:tcPr>
          <w:p w14:paraId="23186237"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center"/>
              <w:rPr>
                <w:rFonts w:ascii="Arial" w:eastAsia="Arial" w:hAnsi="Arial" w:cs="Arial"/>
                <w:color w:val="010000"/>
                <w:sz w:val="20"/>
                <w:szCs w:val="20"/>
              </w:rPr>
            </w:pPr>
            <w:r w:rsidRPr="00012130">
              <w:rPr>
                <w:rFonts w:ascii="Arial" w:hAnsi="Arial" w:cs="Arial"/>
                <w:color w:val="010000"/>
                <w:sz w:val="20"/>
              </w:rPr>
              <w:lastRenderedPageBreak/>
              <w:t>Total</w:t>
            </w:r>
          </w:p>
        </w:tc>
        <w:tc>
          <w:tcPr>
            <w:tcW w:w="651" w:type="pct"/>
            <w:shd w:val="clear" w:color="auto" w:fill="auto"/>
            <w:tcMar>
              <w:top w:w="0" w:type="dxa"/>
              <w:bottom w:w="0" w:type="dxa"/>
            </w:tcMar>
            <w:vAlign w:val="center"/>
          </w:tcPr>
          <w:p w14:paraId="797C9857" w14:textId="77777777" w:rsidR="00E71411" w:rsidRPr="00012130" w:rsidRDefault="00F2307B" w:rsidP="00F2307B">
            <w:pPr>
              <w:pBdr>
                <w:top w:val="nil"/>
                <w:left w:val="nil"/>
                <w:bottom w:val="nil"/>
                <w:right w:val="nil"/>
                <w:between w:val="nil"/>
              </w:pBdr>
              <w:tabs>
                <w:tab w:val="left" w:pos="270"/>
                <w:tab w:val="left" w:pos="360"/>
              </w:tabs>
              <w:spacing w:after="120" w:line="360" w:lineRule="auto"/>
              <w:jc w:val="right"/>
              <w:rPr>
                <w:rFonts w:ascii="Arial" w:eastAsia="Arial" w:hAnsi="Arial" w:cs="Arial"/>
                <w:color w:val="010000"/>
                <w:sz w:val="20"/>
                <w:szCs w:val="20"/>
              </w:rPr>
            </w:pPr>
            <w:r w:rsidRPr="00012130">
              <w:rPr>
                <w:rFonts w:ascii="Arial" w:hAnsi="Arial" w:cs="Arial"/>
                <w:color w:val="010000"/>
                <w:sz w:val="20"/>
              </w:rPr>
              <w:t>5,600</w:t>
            </w:r>
          </w:p>
        </w:tc>
        <w:tc>
          <w:tcPr>
            <w:tcW w:w="1969" w:type="pct"/>
            <w:shd w:val="clear" w:color="auto" w:fill="auto"/>
            <w:tcMar>
              <w:top w:w="0" w:type="dxa"/>
              <w:bottom w:w="0" w:type="dxa"/>
            </w:tcMar>
            <w:vAlign w:val="center"/>
          </w:tcPr>
          <w:p w14:paraId="3BED42EF" w14:textId="77777777" w:rsidR="00E71411" w:rsidRPr="00012130" w:rsidRDefault="00E71411" w:rsidP="00F2307B">
            <w:pPr>
              <w:tabs>
                <w:tab w:val="left" w:pos="270"/>
                <w:tab w:val="left" w:pos="360"/>
              </w:tabs>
              <w:spacing w:after="120" w:line="360" w:lineRule="auto"/>
              <w:jc w:val="center"/>
              <w:rPr>
                <w:rFonts w:ascii="Arial" w:eastAsia="Arial" w:hAnsi="Arial" w:cs="Arial"/>
                <w:color w:val="010000"/>
                <w:sz w:val="20"/>
                <w:szCs w:val="20"/>
              </w:rPr>
            </w:pPr>
          </w:p>
        </w:tc>
      </w:tr>
    </w:tbl>
    <w:p w14:paraId="2749FF81" w14:textId="77777777"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The actual amount and time of disbursement to customers depends on the successfully issued volume of bonds and the lending progress implemented by the General Manager or the person authorized by the General Manager, according to </w:t>
      </w:r>
      <w:proofErr w:type="spellStart"/>
      <w:r w:rsidRPr="00012130">
        <w:rPr>
          <w:rFonts w:ascii="Arial" w:hAnsi="Arial" w:cs="Arial"/>
          <w:color w:val="010000"/>
          <w:sz w:val="20"/>
        </w:rPr>
        <w:t>BVBank's</w:t>
      </w:r>
      <w:proofErr w:type="spellEnd"/>
      <w:r w:rsidRPr="00012130">
        <w:rPr>
          <w:rFonts w:ascii="Arial" w:hAnsi="Arial" w:cs="Arial"/>
          <w:color w:val="010000"/>
          <w:sz w:val="20"/>
        </w:rPr>
        <w:t xml:space="preserve"> needs.</w:t>
      </w:r>
    </w:p>
    <w:p w14:paraId="5CDBC377" w14:textId="17366187" w:rsidR="00E71411" w:rsidRPr="00012130" w:rsidRDefault="00F2307B" w:rsidP="00B60869">
      <w:pPr>
        <w:pStyle w:val="ListParagraph"/>
        <w:numPr>
          <w:ilvl w:val="0"/>
          <w:numId w:val="3"/>
        </w:numPr>
        <w:pBdr>
          <w:top w:val="nil"/>
          <w:left w:val="nil"/>
          <w:bottom w:val="nil"/>
          <w:right w:val="nil"/>
          <w:between w:val="nil"/>
        </w:pBdr>
        <w:tabs>
          <w:tab w:val="left" w:pos="270"/>
          <w:tab w:val="left" w:pos="360"/>
        </w:tabs>
        <w:spacing w:after="120" w:line="360" w:lineRule="auto"/>
        <w:contextualSpacing w:val="0"/>
        <w:jc w:val="both"/>
        <w:rPr>
          <w:rFonts w:ascii="Arial" w:eastAsia="Arial" w:hAnsi="Arial" w:cs="Arial"/>
          <w:color w:val="010000"/>
          <w:sz w:val="20"/>
          <w:szCs w:val="20"/>
        </w:rPr>
      </w:pPr>
      <w:r w:rsidRPr="00012130">
        <w:rPr>
          <w:rFonts w:ascii="Arial" w:hAnsi="Arial" w:cs="Arial"/>
          <w:color w:val="010000"/>
          <w:sz w:val="20"/>
        </w:rPr>
        <w:t>Repayment plan for principal and interest from the bond issuance:</w:t>
      </w:r>
    </w:p>
    <w:p w14:paraId="75E690A2" w14:textId="27C9EBB3" w:rsidR="00E71411" w:rsidRPr="00012130" w:rsidRDefault="00F2307B" w:rsidP="00B60869">
      <w:pPr>
        <w:pStyle w:val="ListParagraph"/>
        <w:numPr>
          <w:ilvl w:val="0"/>
          <w:numId w:val="1"/>
        </w:numPr>
        <w:pBdr>
          <w:top w:val="nil"/>
          <w:left w:val="nil"/>
          <w:bottom w:val="nil"/>
          <w:right w:val="nil"/>
          <w:between w:val="nil"/>
        </w:pBdr>
        <w:tabs>
          <w:tab w:val="left" w:pos="270"/>
          <w:tab w:val="left" w:pos="360"/>
        </w:tabs>
        <w:spacing w:after="120" w:line="360" w:lineRule="auto"/>
        <w:contextualSpacing w:val="0"/>
        <w:jc w:val="both"/>
        <w:rPr>
          <w:rFonts w:ascii="Arial" w:eastAsia="Arial" w:hAnsi="Arial" w:cs="Arial"/>
          <w:color w:val="010000"/>
          <w:sz w:val="20"/>
          <w:szCs w:val="20"/>
        </w:rPr>
      </w:pPr>
      <w:r w:rsidRPr="00012130">
        <w:rPr>
          <w:rFonts w:ascii="Arial" w:hAnsi="Arial" w:cs="Arial"/>
          <w:color w:val="010000"/>
          <w:sz w:val="20"/>
        </w:rPr>
        <w:t>Expected plan for interest payment</w:t>
      </w:r>
    </w:p>
    <w:p w14:paraId="29477FFA" w14:textId="4ECFBC13" w:rsidR="00E71411" w:rsidRPr="00012130" w:rsidRDefault="00ED7DB6"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After deducting expenses, i</w:t>
      </w:r>
      <w:r w:rsidR="00F2307B" w:rsidRPr="00012130">
        <w:rPr>
          <w:rFonts w:ascii="Arial" w:hAnsi="Arial" w:cs="Arial"/>
          <w:color w:val="010000"/>
          <w:sz w:val="20"/>
        </w:rPr>
        <w:t xml:space="preserve">nterest earned from the areas that </w:t>
      </w:r>
      <w:proofErr w:type="spellStart"/>
      <w:r w:rsidR="00F2307B" w:rsidRPr="00012130">
        <w:rPr>
          <w:rFonts w:ascii="Arial" w:hAnsi="Arial" w:cs="Arial"/>
          <w:color w:val="010000"/>
          <w:sz w:val="20"/>
        </w:rPr>
        <w:t>BVBank</w:t>
      </w:r>
      <w:proofErr w:type="spellEnd"/>
      <w:r w:rsidR="00F2307B" w:rsidRPr="00012130">
        <w:rPr>
          <w:rFonts w:ascii="Arial" w:hAnsi="Arial" w:cs="Arial"/>
          <w:color w:val="010000"/>
          <w:sz w:val="20"/>
        </w:rPr>
        <w:t xml:space="preserve"> plans to disburse</w:t>
      </w:r>
      <w:r w:rsidRPr="00012130">
        <w:rPr>
          <w:rFonts w:ascii="Arial" w:hAnsi="Arial" w:cs="Arial"/>
          <w:color w:val="010000"/>
          <w:sz w:val="20"/>
        </w:rPr>
        <w:t xml:space="preserve"> to using</w:t>
      </w:r>
      <w:r w:rsidR="00F2307B" w:rsidRPr="00012130">
        <w:rPr>
          <w:rFonts w:ascii="Arial" w:hAnsi="Arial" w:cs="Arial"/>
          <w:color w:val="010000"/>
          <w:sz w:val="20"/>
        </w:rPr>
        <w:t xml:space="preserve"> the capital from the issuance of Bonds and other lawful sources of income will be used to pay Interest to investors provided that the payment does not lead to a loss in business results in the year of </w:t>
      </w:r>
      <w:proofErr w:type="spellStart"/>
      <w:r w:rsidR="00F2307B" w:rsidRPr="00012130">
        <w:rPr>
          <w:rFonts w:ascii="Arial" w:hAnsi="Arial" w:cs="Arial"/>
          <w:color w:val="010000"/>
          <w:sz w:val="20"/>
        </w:rPr>
        <w:t>BVBank</w:t>
      </w:r>
      <w:proofErr w:type="spellEnd"/>
      <w:r w:rsidR="00F2307B" w:rsidRPr="00012130">
        <w:rPr>
          <w:rFonts w:ascii="Arial" w:hAnsi="Arial" w:cs="Arial"/>
          <w:color w:val="010000"/>
          <w:sz w:val="20"/>
        </w:rPr>
        <w:t>.</w:t>
      </w:r>
    </w:p>
    <w:p w14:paraId="37056DAA" w14:textId="77777777"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Expected plan for principal payment</w:t>
      </w:r>
    </w:p>
    <w:p w14:paraId="664CF669" w14:textId="5E489B43"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proofErr w:type="spellStart"/>
      <w:r w:rsidRPr="00012130">
        <w:rPr>
          <w:rFonts w:ascii="Arial" w:hAnsi="Arial" w:cs="Arial"/>
          <w:color w:val="010000"/>
          <w:sz w:val="20"/>
        </w:rPr>
        <w:t>BVBank</w:t>
      </w:r>
      <w:proofErr w:type="spellEnd"/>
      <w:r w:rsidRPr="00012130">
        <w:rPr>
          <w:rFonts w:ascii="Arial" w:hAnsi="Arial" w:cs="Arial"/>
          <w:color w:val="010000"/>
          <w:sz w:val="20"/>
        </w:rPr>
        <w:t xml:space="preserve"> will use the money source from the collection of principal/interest of the loans financed by the bond issuance capital and other mobilized capital, self-accumulated capital, profit from business activities and financial </w:t>
      </w:r>
      <w:r w:rsidR="00ED7DB6" w:rsidRPr="00012130">
        <w:rPr>
          <w:rFonts w:ascii="Arial" w:hAnsi="Arial" w:cs="Arial"/>
          <w:color w:val="010000"/>
          <w:sz w:val="20"/>
        </w:rPr>
        <w:t>potential</w:t>
      </w:r>
      <w:r w:rsidRPr="00012130">
        <w:rPr>
          <w:rFonts w:ascii="Arial" w:hAnsi="Arial" w:cs="Arial"/>
          <w:color w:val="010000"/>
          <w:sz w:val="20"/>
        </w:rPr>
        <w:t xml:space="preserve"> of </w:t>
      </w:r>
      <w:proofErr w:type="spellStart"/>
      <w:r w:rsidRPr="00012130">
        <w:rPr>
          <w:rFonts w:ascii="Arial" w:hAnsi="Arial" w:cs="Arial"/>
          <w:color w:val="010000"/>
          <w:sz w:val="20"/>
        </w:rPr>
        <w:t>BVBank</w:t>
      </w:r>
      <w:proofErr w:type="spellEnd"/>
      <w:r w:rsidRPr="00012130">
        <w:rPr>
          <w:rFonts w:ascii="Arial" w:hAnsi="Arial" w:cs="Arial"/>
          <w:color w:val="010000"/>
          <w:sz w:val="20"/>
        </w:rPr>
        <w:t xml:space="preserve"> to pay the Principal at maturity or redeem the Bonds before maturity</w:t>
      </w:r>
    </w:p>
    <w:p w14:paraId="31960A50" w14:textId="73C11EC3" w:rsidR="00E71411" w:rsidRPr="00012130" w:rsidRDefault="00F2307B" w:rsidP="00B60869">
      <w:pPr>
        <w:pStyle w:val="ListParagraph"/>
        <w:numPr>
          <w:ilvl w:val="0"/>
          <w:numId w:val="3"/>
        </w:numPr>
        <w:pBdr>
          <w:top w:val="nil"/>
          <w:left w:val="nil"/>
          <w:bottom w:val="nil"/>
          <w:right w:val="nil"/>
          <w:between w:val="nil"/>
        </w:pBdr>
        <w:tabs>
          <w:tab w:val="left" w:pos="270"/>
          <w:tab w:val="left" w:pos="360"/>
        </w:tabs>
        <w:spacing w:after="120" w:line="360" w:lineRule="auto"/>
        <w:contextualSpacing w:val="0"/>
        <w:jc w:val="both"/>
        <w:rPr>
          <w:rFonts w:ascii="Arial" w:eastAsia="Arial" w:hAnsi="Arial" w:cs="Arial"/>
          <w:color w:val="010000"/>
          <w:sz w:val="20"/>
          <w:szCs w:val="20"/>
        </w:rPr>
      </w:pPr>
      <w:r w:rsidRPr="00012130">
        <w:rPr>
          <w:rFonts w:ascii="Arial" w:hAnsi="Arial" w:cs="Arial"/>
          <w:color w:val="010000"/>
          <w:sz w:val="20"/>
        </w:rPr>
        <w:t>Other details and specific plans: According to Appendix 01 attached to this Report.</w:t>
      </w:r>
    </w:p>
    <w:p w14:paraId="4CAD6D26" w14:textId="1F25F7F4"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proofErr w:type="gramStart"/>
      <w:r w:rsidRPr="00012130">
        <w:rPr>
          <w:rFonts w:ascii="Arial" w:hAnsi="Arial" w:cs="Arial"/>
          <w:color w:val="010000"/>
          <w:sz w:val="20"/>
        </w:rPr>
        <w:t>Article 2.</w:t>
      </w:r>
      <w:proofErr w:type="gramEnd"/>
      <w:r w:rsidRPr="00012130">
        <w:rPr>
          <w:rFonts w:ascii="Arial" w:hAnsi="Arial" w:cs="Arial"/>
          <w:color w:val="010000"/>
          <w:sz w:val="20"/>
        </w:rPr>
        <w:t xml:space="preserve"> Assign the General Manager or the person authorized by the General Manager to carry out</w:t>
      </w:r>
      <w:r w:rsidR="00ED7DB6" w:rsidRPr="00012130">
        <w:rPr>
          <w:rFonts w:ascii="Arial" w:hAnsi="Arial" w:cs="Arial"/>
          <w:color w:val="010000"/>
          <w:sz w:val="20"/>
        </w:rPr>
        <w:t xml:space="preserve"> </w:t>
      </w:r>
      <w:r w:rsidRPr="00012130">
        <w:rPr>
          <w:rFonts w:ascii="Arial" w:hAnsi="Arial" w:cs="Arial"/>
          <w:color w:val="010000"/>
          <w:sz w:val="20"/>
        </w:rPr>
        <w:t>the following tasks based on Article 1 of this Decision:</w:t>
      </w:r>
    </w:p>
    <w:p w14:paraId="34413BF3" w14:textId="77777777"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Choose an appropriate time to implement the issuance plan and carry out related tasks to ensure compliance with legal regulations, </w:t>
      </w:r>
      <w:proofErr w:type="spellStart"/>
      <w:r w:rsidRPr="00012130">
        <w:rPr>
          <w:rFonts w:ascii="Arial" w:hAnsi="Arial" w:cs="Arial"/>
          <w:color w:val="010000"/>
          <w:sz w:val="20"/>
        </w:rPr>
        <w:t>BVBank's</w:t>
      </w:r>
      <w:proofErr w:type="spellEnd"/>
      <w:r w:rsidRPr="00012130">
        <w:rPr>
          <w:rFonts w:ascii="Arial" w:hAnsi="Arial" w:cs="Arial"/>
          <w:color w:val="010000"/>
          <w:sz w:val="20"/>
        </w:rPr>
        <w:t xml:space="preserve"> regulations, and the approved contents by the Board of Directors. </w:t>
      </w:r>
    </w:p>
    <w:p w14:paraId="45A59765" w14:textId="77777777"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Use the proceeds from the offering to ensure the interests of </w:t>
      </w:r>
      <w:proofErr w:type="spellStart"/>
      <w:r w:rsidRPr="00012130">
        <w:rPr>
          <w:rFonts w:ascii="Arial" w:hAnsi="Arial" w:cs="Arial"/>
          <w:color w:val="010000"/>
          <w:sz w:val="20"/>
        </w:rPr>
        <w:t>BVBank</w:t>
      </w:r>
      <w:proofErr w:type="spellEnd"/>
      <w:r w:rsidRPr="00012130">
        <w:rPr>
          <w:rFonts w:ascii="Arial" w:hAnsi="Arial" w:cs="Arial"/>
          <w:color w:val="010000"/>
          <w:sz w:val="20"/>
        </w:rPr>
        <w:t>, the Bond investors and in accordance with the law;</w:t>
      </w:r>
    </w:p>
    <w:p w14:paraId="7CADC76B" w14:textId="524BFAB5"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Sign Contracts</w:t>
      </w:r>
      <w:r w:rsidR="00012130" w:rsidRPr="00012130">
        <w:rPr>
          <w:rFonts w:ascii="Arial" w:hAnsi="Arial" w:cs="Arial"/>
          <w:color w:val="010000"/>
          <w:sz w:val="20"/>
        </w:rPr>
        <w:t>, agreements</w:t>
      </w:r>
      <w:r w:rsidRPr="00012130">
        <w:rPr>
          <w:rFonts w:ascii="Arial" w:hAnsi="Arial" w:cs="Arial"/>
          <w:color w:val="010000"/>
          <w:sz w:val="20"/>
        </w:rPr>
        <w:t xml:space="preserve"> and other documents related to the issuance in accordance with the approval of the Board of Directors in this Decision and the provisions of law;</w:t>
      </w:r>
    </w:p>
    <w:p w14:paraId="31C849E2" w14:textId="01FB1357"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Execute centralized bond registration at VSDC and list the bonds on the trading system of Hanoi Stock Exchange after the completion of each offering</w:t>
      </w:r>
      <w:r w:rsidR="00012130" w:rsidRPr="00012130">
        <w:rPr>
          <w:rFonts w:ascii="Arial" w:hAnsi="Arial" w:cs="Arial"/>
          <w:color w:val="010000"/>
          <w:sz w:val="20"/>
        </w:rPr>
        <w:t xml:space="preserve"> round</w:t>
      </w:r>
      <w:r w:rsidRPr="00012130">
        <w:rPr>
          <w:rFonts w:ascii="Arial" w:hAnsi="Arial" w:cs="Arial"/>
          <w:color w:val="010000"/>
          <w:sz w:val="20"/>
        </w:rPr>
        <w:t>.</w:t>
      </w:r>
    </w:p>
    <w:p w14:paraId="6BC7403C" w14:textId="77777777" w:rsidR="00E71411" w:rsidRPr="00012130" w:rsidRDefault="00F2307B" w:rsidP="00B60869">
      <w:pPr>
        <w:numPr>
          <w:ilvl w:val="0"/>
          <w:numId w:val="1"/>
        </w:num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r w:rsidRPr="00012130">
        <w:rPr>
          <w:rFonts w:ascii="Arial" w:hAnsi="Arial" w:cs="Arial"/>
          <w:color w:val="010000"/>
          <w:sz w:val="20"/>
        </w:rPr>
        <w:t xml:space="preserve">Carry out other tasks related to the issuance of bonds to the public in accordance with legal regulations and </w:t>
      </w:r>
      <w:proofErr w:type="spellStart"/>
      <w:r w:rsidRPr="00012130">
        <w:rPr>
          <w:rFonts w:ascii="Arial" w:hAnsi="Arial" w:cs="Arial"/>
          <w:color w:val="010000"/>
          <w:sz w:val="20"/>
        </w:rPr>
        <w:t>BVBank's</w:t>
      </w:r>
      <w:proofErr w:type="spellEnd"/>
      <w:r w:rsidRPr="00012130">
        <w:rPr>
          <w:rFonts w:ascii="Arial" w:hAnsi="Arial" w:cs="Arial"/>
          <w:color w:val="010000"/>
          <w:sz w:val="20"/>
        </w:rPr>
        <w:t xml:space="preserve"> provisions.</w:t>
      </w:r>
    </w:p>
    <w:p w14:paraId="2E2A8670" w14:textId="7E6DD292" w:rsidR="00E71411" w:rsidRPr="00012130" w:rsidRDefault="00F2307B" w:rsidP="00B60869">
      <w:pPr>
        <w:pBdr>
          <w:top w:val="nil"/>
          <w:left w:val="nil"/>
          <w:bottom w:val="nil"/>
          <w:right w:val="nil"/>
          <w:between w:val="nil"/>
        </w:pBdr>
        <w:tabs>
          <w:tab w:val="left" w:pos="270"/>
          <w:tab w:val="left" w:pos="360"/>
        </w:tabs>
        <w:spacing w:after="120" w:line="360" w:lineRule="auto"/>
        <w:jc w:val="both"/>
        <w:rPr>
          <w:rFonts w:ascii="Arial" w:eastAsia="Arial" w:hAnsi="Arial" w:cs="Arial"/>
          <w:color w:val="010000"/>
          <w:sz w:val="20"/>
          <w:szCs w:val="20"/>
        </w:rPr>
      </w:pPr>
      <w:proofErr w:type="gramStart"/>
      <w:r w:rsidRPr="00012130">
        <w:rPr>
          <w:rFonts w:ascii="Arial" w:hAnsi="Arial" w:cs="Arial"/>
          <w:color w:val="010000"/>
          <w:sz w:val="20"/>
        </w:rPr>
        <w:t>Article 3.</w:t>
      </w:r>
      <w:proofErr w:type="gramEnd"/>
      <w:r w:rsidRPr="00012130">
        <w:rPr>
          <w:rFonts w:ascii="Arial" w:hAnsi="Arial" w:cs="Arial"/>
          <w:color w:val="010000"/>
          <w:sz w:val="20"/>
        </w:rPr>
        <w:t xml:space="preserve"> This Decision takes effect from December 29, 2023. The General Manager, the Executive Board, relevant units and individuals of Viet Capital Bank are responsible for implementing this Decision.</w:t>
      </w:r>
    </w:p>
    <w:sectPr w:rsidR="00E71411" w:rsidRPr="00012130" w:rsidSect="00F2307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F13"/>
    <w:multiLevelType w:val="hybridMultilevel"/>
    <w:tmpl w:val="9888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0071B"/>
    <w:multiLevelType w:val="hybridMultilevel"/>
    <w:tmpl w:val="A11C2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E1C54"/>
    <w:multiLevelType w:val="multilevel"/>
    <w:tmpl w:val="ADFE7CFE"/>
    <w:lvl w:ilvl="0">
      <w:start w:val="1"/>
      <w:numFmt w:val="decimal"/>
      <w:lvlText w:val="%1."/>
      <w:lvlJc w:val="left"/>
      <w:pPr>
        <w:ind w:left="0" w:firstLine="0"/>
      </w:pPr>
      <w:rPr>
        <w:rFonts w:ascii="Arial" w:eastAsia="Arial" w:hAnsi="Arial" w:cs="Arial"/>
        <w:b w:val="0"/>
        <w:i w:val="0"/>
        <w:smallCaps w:val="0"/>
        <w:strike w:val="0"/>
        <w:color w:val="131216"/>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D9015D3"/>
    <w:multiLevelType w:val="multilevel"/>
    <w:tmpl w:val="7E3AD97A"/>
    <w:lvl w:ilvl="0">
      <w:start w:val="12"/>
      <w:numFmt w:val="decimal"/>
      <w:lvlText w:val="%1."/>
      <w:lvlJc w:val="left"/>
      <w:pPr>
        <w:ind w:left="0" w:firstLine="0"/>
      </w:pPr>
      <w:rPr>
        <w:rFonts w:ascii="Arial" w:eastAsia="Arial" w:hAnsi="Arial" w:cs="Arial"/>
        <w:b w:val="0"/>
        <w:i w:val="0"/>
        <w:smallCaps w:val="0"/>
        <w:strike w:val="0"/>
        <w:color w:val="131216"/>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DBE6950"/>
    <w:multiLevelType w:val="multilevel"/>
    <w:tmpl w:val="9E629634"/>
    <w:lvl w:ilvl="0">
      <w:start w:val="1"/>
      <w:numFmt w:val="bullet"/>
      <w:lvlText w:val="-"/>
      <w:lvlJc w:val="left"/>
      <w:pPr>
        <w:ind w:left="0" w:firstLine="0"/>
      </w:pPr>
      <w:rPr>
        <w:rFonts w:ascii="Times New Roman" w:eastAsia="Times New Roman" w:hAnsi="Times New Roman" w:cs="Times New Roman"/>
        <w:b w:val="0"/>
        <w:i w:val="0"/>
        <w:smallCaps w:val="0"/>
        <w:strike w:val="0"/>
        <w:color w:val="131216"/>
        <w:sz w:val="20"/>
        <w:szCs w:val="18"/>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11"/>
    <w:rsid w:val="00012130"/>
    <w:rsid w:val="000E6C28"/>
    <w:rsid w:val="005B7AC5"/>
    <w:rsid w:val="006271E4"/>
    <w:rsid w:val="00B60869"/>
    <w:rsid w:val="00E31CD8"/>
    <w:rsid w:val="00E71411"/>
    <w:rsid w:val="00ED7DB6"/>
    <w:rsid w:val="00F2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3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E31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E3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JnXmd31iXYexpYD+SpT4DQswA==">CgMxLjA4AHIhMXgzSkptM0w3MVZpRzBvN256Y2lpZzkzOWZVM2VHZXkz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966</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2024-01-08T03:32:00Z</dcterms:created>
  <dcterms:modified xsi:type="dcterms:W3CDTF">2024-01-09T03:52:00Z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8b96da3d658d3731e55286f40634e88970de61e1015233353009e318387769b1</vt:lpwstr>
  </property>
</Properties>
</file>