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451C" w:rsidRPr="003603E1" w:rsidRDefault="003603E1" w:rsidP="00A45B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603E1">
        <w:rPr>
          <w:rFonts w:ascii="Arial" w:hAnsi="Arial" w:cs="Arial"/>
          <w:b/>
          <w:color w:val="010000"/>
          <w:sz w:val="20"/>
        </w:rPr>
        <w:t>HSM: Board Resolution</w:t>
      </w:r>
    </w:p>
    <w:p w14:paraId="00000002" w14:textId="5C33DF98" w:rsidR="00E1451C" w:rsidRPr="003603E1" w:rsidRDefault="003603E1" w:rsidP="00A45BC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 xml:space="preserve">On September 26, 2024, Hanoi Textile and Garment Joint Stock Corporation announced Resolution </w:t>
      </w:r>
      <w:r w:rsidR="00E0252B" w:rsidRPr="003603E1">
        <w:rPr>
          <w:rFonts w:ascii="Arial" w:hAnsi="Arial" w:cs="Arial"/>
          <w:color w:val="010000"/>
          <w:sz w:val="20"/>
        </w:rPr>
        <w:t xml:space="preserve">No. </w:t>
      </w:r>
      <w:r w:rsidRPr="003603E1">
        <w:rPr>
          <w:rFonts w:ascii="Arial" w:hAnsi="Arial" w:cs="Arial"/>
          <w:color w:val="010000"/>
          <w:sz w:val="20"/>
        </w:rPr>
        <w:t>16/NQ-HDQT-DMHN on the divestment plan of Hanoi Textile and Garment Joint Stock Corporation at Lien Phuong Textile &amp; Garment Corporation, as follows:</w:t>
      </w:r>
    </w:p>
    <w:p w14:paraId="00000003" w14:textId="77777777" w:rsidR="00E1451C" w:rsidRPr="003603E1" w:rsidRDefault="003603E1" w:rsidP="00A45B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‎‎Article 1. Approve the plan on transferring capital owned by the Corporation at Lien Phuong Textile &amp; Garment Corporation with contents as follows:</w:t>
      </w:r>
    </w:p>
    <w:p w14:paraId="00000004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Share name: Shares of Lien Phuong Textile &amp; Garment Corporation</w:t>
      </w:r>
    </w:p>
    <w:p w14:paraId="00000005" w14:textId="163681E8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Share type: common, freely transferable shares</w:t>
      </w:r>
    </w:p>
    <w:p w14:paraId="00000006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Par value: VND10,000/share</w:t>
      </w:r>
    </w:p>
    <w:p w14:paraId="00000007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Total number of shares owned by Hanoi Textile and Garment Joint Stock Corporation at Lien Phuong Textile &amp; Garment Corporation: 2,088,000 shares, accounting for 8.87% of the charter capital of Lien Phuong Textile &amp; Garment Corporation.</w:t>
      </w:r>
    </w:p>
    <w:p w14:paraId="00000008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Total number of shares offered: 2,088,000 shares</w:t>
      </w:r>
    </w:p>
    <w:p w14:paraId="00000009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Transfer value at par value: VND20,880,000,000.</w:t>
      </w:r>
    </w:p>
    <w:p w14:paraId="0000000A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Transfer method: Competitive offering to less than 100 interested investors with price competition through the securities company.</w:t>
      </w:r>
    </w:p>
    <w:p w14:paraId="0000000B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Reserve offering price: VND12,000/share</w:t>
      </w:r>
    </w:p>
    <w:p w14:paraId="0000000C" w14:textId="77777777" w:rsidR="00E1451C" w:rsidRPr="003603E1" w:rsidRDefault="003603E1" w:rsidP="00A45B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>Expected implementation time: From September, 2024</w:t>
      </w:r>
    </w:p>
    <w:p w14:paraId="0000000D" w14:textId="18045384" w:rsidR="00E1451C" w:rsidRPr="003603E1" w:rsidRDefault="003603E1" w:rsidP="00A45B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 xml:space="preserve">Article 2. Assign the </w:t>
      </w:r>
      <w:r w:rsidR="00A45BCB">
        <w:rPr>
          <w:rFonts w:ascii="Arial" w:hAnsi="Arial" w:cs="Arial"/>
          <w:color w:val="010000"/>
          <w:sz w:val="20"/>
        </w:rPr>
        <w:t>Managing Director</w:t>
      </w:r>
      <w:r w:rsidRPr="003603E1">
        <w:rPr>
          <w:rFonts w:ascii="Arial" w:hAnsi="Arial" w:cs="Arial"/>
          <w:color w:val="010000"/>
          <w:sz w:val="20"/>
        </w:rPr>
        <w:t xml:space="preserve"> of the Corporation to implement the divestment procedures for all shares of Hanoi Textile and Garment Joint Stock Corporation at Lien Phuong T</w:t>
      </w:r>
      <w:r w:rsidR="00A45BCB">
        <w:rPr>
          <w:rFonts w:ascii="Arial" w:hAnsi="Arial" w:cs="Arial"/>
          <w:color w:val="010000"/>
          <w:sz w:val="20"/>
        </w:rPr>
        <w:t xml:space="preserve">extile &amp; Garment Corporation under applicable laws </w:t>
      </w:r>
      <w:r w:rsidRPr="003603E1">
        <w:rPr>
          <w:rFonts w:ascii="Arial" w:hAnsi="Arial" w:cs="Arial"/>
          <w:color w:val="010000"/>
          <w:sz w:val="20"/>
        </w:rPr>
        <w:t>and report the results to the Board of Directors after the completion of the divestment.</w:t>
      </w:r>
    </w:p>
    <w:p w14:paraId="0000000E" w14:textId="12544CC7" w:rsidR="00E1451C" w:rsidRPr="003603E1" w:rsidRDefault="003603E1" w:rsidP="00A45BC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603E1">
        <w:rPr>
          <w:rFonts w:ascii="Arial" w:hAnsi="Arial" w:cs="Arial"/>
          <w:color w:val="010000"/>
          <w:sz w:val="20"/>
        </w:rPr>
        <w:t xml:space="preserve">Article 3. This </w:t>
      </w:r>
      <w:r w:rsidR="00A45BCB">
        <w:rPr>
          <w:rFonts w:ascii="Arial" w:hAnsi="Arial" w:cs="Arial"/>
          <w:color w:val="010000"/>
          <w:sz w:val="20"/>
        </w:rPr>
        <w:t xml:space="preserve">Board </w:t>
      </w:r>
      <w:r w:rsidR="00E0252B" w:rsidRPr="003603E1">
        <w:rPr>
          <w:rFonts w:ascii="Arial" w:hAnsi="Arial" w:cs="Arial"/>
          <w:color w:val="010000"/>
          <w:sz w:val="20"/>
        </w:rPr>
        <w:t>R</w:t>
      </w:r>
      <w:r w:rsidRPr="003603E1">
        <w:rPr>
          <w:rFonts w:ascii="Arial" w:hAnsi="Arial" w:cs="Arial"/>
          <w:color w:val="010000"/>
          <w:sz w:val="20"/>
        </w:rPr>
        <w:t>esolution was approved by the Board of Directors of the Corporation and takes effect from the date of it</w:t>
      </w:r>
      <w:r w:rsidR="00A45BCB">
        <w:rPr>
          <w:rFonts w:ascii="Arial" w:hAnsi="Arial" w:cs="Arial"/>
          <w:color w:val="010000"/>
          <w:sz w:val="20"/>
        </w:rPr>
        <w:t>s signing. The Executive Board,</w:t>
      </w:r>
      <w:r w:rsidR="00E0252B" w:rsidRPr="003603E1">
        <w:rPr>
          <w:rFonts w:ascii="Arial" w:hAnsi="Arial" w:cs="Arial"/>
          <w:color w:val="010000"/>
          <w:sz w:val="20"/>
        </w:rPr>
        <w:t xml:space="preserve"> </w:t>
      </w:r>
      <w:r w:rsidR="00A45BCB">
        <w:rPr>
          <w:rFonts w:ascii="Arial" w:hAnsi="Arial" w:cs="Arial"/>
          <w:color w:val="010000"/>
          <w:sz w:val="20"/>
        </w:rPr>
        <w:t>Heads of functional departments</w:t>
      </w:r>
      <w:r w:rsidRPr="003603E1">
        <w:rPr>
          <w:rFonts w:ascii="Arial" w:hAnsi="Arial" w:cs="Arial"/>
          <w:color w:val="010000"/>
          <w:sz w:val="20"/>
        </w:rPr>
        <w:t xml:space="preserve"> and </w:t>
      </w:r>
      <w:bookmarkStart w:id="0" w:name="_GoBack"/>
      <w:bookmarkEnd w:id="0"/>
      <w:r w:rsidR="00FD4BF8" w:rsidRPr="003603E1">
        <w:rPr>
          <w:rFonts w:ascii="Arial" w:hAnsi="Arial" w:cs="Arial"/>
          <w:color w:val="010000"/>
          <w:sz w:val="20"/>
        </w:rPr>
        <w:t>C</w:t>
      </w:r>
      <w:r w:rsidRPr="003603E1">
        <w:rPr>
          <w:rFonts w:ascii="Arial" w:hAnsi="Arial" w:cs="Arial"/>
          <w:color w:val="010000"/>
          <w:sz w:val="20"/>
        </w:rPr>
        <w:t xml:space="preserve">apital </w:t>
      </w:r>
      <w:r w:rsidR="00FD4BF8" w:rsidRPr="003603E1">
        <w:rPr>
          <w:rFonts w:ascii="Arial" w:hAnsi="Arial" w:cs="Arial"/>
          <w:color w:val="010000"/>
          <w:sz w:val="20"/>
        </w:rPr>
        <w:t>R</w:t>
      </w:r>
      <w:r w:rsidRPr="003603E1">
        <w:rPr>
          <w:rFonts w:ascii="Arial" w:hAnsi="Arial" w:cs="Arial"/>
          <w:color w:val="010000"/>
          <w:sz w:val="20"/>
        </w:rPr>
        <w:t>epresentative of the Corporation at Lien Phuong Textile &amp; Garment Corporation are responsible for implementing this Resolution./.</w:t>
      </w:r>
    </w:p>
    <w:sectPr w:rsidR="00E1451C" w:rsidRPr="003603E1" w:rsidSect="00E0252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2EDF"/>
    <w:multiLevelType w:val="multilevel"/>
    <w:tmpl w:val="DC1CB63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C"/>
    <w:rsid w:val="003603E1"/>
    <w:rsid w:val="00982E61"/>
    <w:rsid w:val="00A45BCB"/>
    <w:rsid w:val="00AF60C3"/>
    <w:rsid w:val="00E0252B"/>
    <w:rsid w:val="00E1451C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2772"/>
  <w15:docId w15:val="{0E090ECB-B701-4779-AED0-1C270082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947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/>
      <w:strike w:val="0"/>
      <w:sz w:val="14"/>
      <w:szCs w:val="14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434947"/>
      <w:sz w:val="20"/>
      <w:szCs w:val="20"/>
    </w:rPr>
  </w:style>
  <w:style w:type="paragraph" w:customStyle="1" w:styleId="Tiu20">
    <w:name w:val="Tiêu đề #2"/>
    <w:basedOn w:val="Normal"/>
    <w:link w:val="Tiu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line="286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1"/>
      <w:szCs w:val="11"/>
    </w:rPr>
  </w:style>
  <w:style w:type="paragraph" w:customStyle="1" w:styleId="Vnbnnidung40">
    <w:name w:val="Văn bản nội dung (4)"/>
    <w:basedOn w:val="Normal"/>
    <w:link w:val="Vnbnnidung4"/>
    <w:pPr>
      <w:spacing w:line="180" w:lineRule="auto"/>
    </w:pPr>
    <w:rPr>
      <w:rFonts w:ascii="Arial" w:eastAsia="Arial" w:hAnsi="Arial" w:cs="Arial"/>
      <w:smallCaps/>
      <w:sz w:val="14"/>
      <w:szCs w:val="14"/>
    </w:rPr>
  </w:style>
  <w:style w:type="paragraph" w:customStyle="1" w:styleId="Tiu10">
    <w:name w:val="Tiêu đề #1"/>
    <w:basedOn w:val="Normal"/>
    <w:link w:val="Tiu1"/>
    <w:pPr>
      <w:outlineLvl w:val="0"/>
    </w:pPr>
    <w:rPr>
      <w:rFonts w:ascii="Arial" w:eastAsia="Arial" w:hAnsi="Arial" w:cs="Arial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of9UsF9Txb0UStlixwl422bvg==">CgMxLjA4AHIhMTdBRVdqbDFmNFotal9nTU1UQWc3SWFCRXhjMVhWX1Jy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2024-10-01T01:58:00Z</dcterms:created>
  <dcterms:modified xsi:type="dcterms:W3CDTF">2024-10-01T01:58:00Z</dcterms:modified>
</cp:coreProperties>
</file>