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FA576D" w:rsidRPr="00114A84" w:rsidRDefault="00114A84" w:rsidP="0073724C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rial" w:hAnsi="Arial" w:cs="Arial"/>
          <w:b/>
          <w:color w:val="010000"/>
          <w:sz w:val="20"/>
          <w:szCs w:val="20"/>
        </w:rPr>
      </w:pPr>
      <w:r w:rsidRPr="00114A84">
        <w:rPr>
          <w:rFonts w:ascii="Arial" w:hAnsi="Arial" w:cs="Arial"/>
          <w:b/>
          <w:bCs/>
          <w:color w:val="010000"/>
          <w:sz w:val="20"/>
        </w:rPr>
        <w:t>BVB123025:</w:t>
      </w:r>
      <w:r w:rsidRPr="00114A84">
        <w:rPr>
          <w:rFonts w:ascii="Arial" w:hAnsi="Arial" w:cs="Arial"/>
          <w:b/>
          <w:color w:val="010000"/>
          <w:sz w:val="20"/>
        </w:rPr>
        <w:t xml:space="preserve"> Board Decision</w:t>
      </w:r>
    </w:p>
    <w:p w14:paraId="00000002" w14:textId="2EDA6023" w:rsidR="00FA576D" w:rsidRPr="00114A84" w:rsidRDefault="00114A84" w:rsidP="0073724C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114A84">
        <w:rPr>
          <w:rFonts w:ascii="Arial" w:hAnsi="Arial" w:cs="Arial"/>
          <w:color w:val="010000"/>
          <w:sz w:val="20"/>
        </w:rPr>
        <w:t xml:space="preserve">On October 8, 2024, Viet Capital Bank </w:t>
      </w:r>
      <w:proofErr w:type="gramStart"/>
      <w:r w:rsidRPr="00114A84">
        <w:rPr>
          <w:rFonts w:ascii="Arial" w:hAnsi="Arial" w:cs="Arial"/>
          <w:color w:val="010000"/>
          <w:sz w:val="20"/>
        </w:rPr>
        <w:t>announced</w:t>
      </w:r>
      <w:proofErr w:type="gramEnd"/>
      <w:r w:rsidRPr="00114A84">
        <w:rPr>
          <w:rFonts w:ascii="Arial" w:hAnsi="Arial" w:cs="Arial"/>
          <w:color w:val="010000"/>
          <w:sz w:val="20"/>
        </w:rPr>
        <w:t xml:space="preserve"> Decision </w:t>
      </w:r>
      <w:r w:rsidR="008847FE" w:rsidRPr="00114A84">
        <w:rPr>
          <w:rFonts w:ascii="Arial" w:hAnsi="Arial" w:cs="Arial"/>
          <w:color w:val="010000"/>
          <w:sz w:val="20"/>
        </w:rPr>
        <w:t xml:space="preserve">No. </w:t>
      </w:r>
      <w:r w:rsidRPr="00114A84">
        <w:rPr>
          <w:rFonts w:ascii="Arial" w:hAnsi="Arial" w:cs="Arial"/>
          <w:color w:val="010000"/>
          <w:sz w:val="20"/>
        </w:rPr>
        <w:t>125/24/</w:t>
      </w:r>
      <w:proofErr w:type="spellStart"/>
      <w:r w:rsidRPr="00114A84">
        <w:rPr>
          <w:rFonts w:ascii="Arial" w:hAnsi="Arial" w:cs="Arial"/>
          <w:color w:val="010000"/>
          <w:sz w:val="20"/>
        </w:rPr>
        <w:t>BVBank</w:t>
      </w:r>
      <w:proofErr w:type="spellEnd"/>
      <w:r w:rsidRPr="00114A84">
        <w:rPr>
          <w:rFonts w:ascii="Arial" w:hAnsi="Arial" w:cs="Arial"/>
          <w:color w:val="010000"/>
          <w:sz w:val="20"/>
        </w:rPr>
        <w:t xml:space="preserve">/QD-HDQT on adjusting the plan on the public </w:t>
      </w:r>
      <w:r w:rsidR="008847FE" w:rsidRPr="00114A84">
        <w:rPr>
          <w:rFonts w:ascii="Arial" w:hAnsi="Arial" w:cs="Arial"/>
          <w:color w:val="010000"/>
          <w:sz w:val="20"/>
        </w:rPr>
        <w:t>issuance</w:t>
      </w:r>
      <w:r w:rsidRPr="00114A84">
        <w:rPr>
          <w:rFonts w:ascii="Arial" w:hAnsi="Arial" w:cs="Arial"/>
          <w:color w:val="010000"/>
          <w:sz w:val="20"/>
        </w:rPr>
        <w:t xml:space="preserve"> </w:t>
      </w:r>
      <w:r w:rsidR="008847FE" w:rsidRPr="00114A84">
        <w:rPr>
          <w:rFonts w:ascii="Arial" w:hAnsi="Arial" w:cs="Arial"/>
          <w:color w:val="010000"/>
          <w:sz w:val="20"/>
        </w:rPr>
        <w:t xml:space="preserve">of bonds </w:t>
      </w:r>
      <w:r w:rsidRPr="00114A84">
        <w:rPr>
          <w:rFonts w:ascii="Arial" w:hAnsi="Arial" w:cs="Arial"/>
          <w:color w:val="010000"/>
          <w:sz w:val="20"/>
        </w:rPr>
        <w:t>to increase Tier 2 capital for 2024-2025, as follows:</w:t>
      </w:r>
    </w:p>
    <w:p w14:paraId="00000003" w14:textId="4E0EDC03" w:rsidR="00FA576D" w:rsidRPr="00114A84" w:rsidRDefault="00114A84" w:rsidP="0073724C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114A84">
        <w:rPr>
          <w:rFonts w:ascii="Arial" w:hAnsi="Arial" w:cs="Arial"/>
          <w:color w:val="010000"/>
          <w:sz w:val="20"/>
        </w:rPr>
        <w:t xml:space="preserve">‎‎Article 1. Approve the adjustment of Clause 9.1, Section II, Appendix 01 of the plan on the public </w:t>
      </w:r>
      <w:r w:rsidR="008847FE" w:rsidRPr="00114A84">
        <w:rPr>
          <w:rFonts w:ascii="Arial" w:hAnsi="Arial" w:cs="Arial"/>
          <w:color w:val="010000"/>
          <w:sz w:val="20"/>
        </w:rPr>
        <w:t xml:space="preserve">issuance of bonds </w:t>
      </w:r>
      <w:r w:rsidRPr="00114A84">
        <w:rPr>
          <w:rFonts w:ascii="Arial" w:hAnsi="Arial" w:cs="Arial"/>
          <w:color w:val="010000"/>
          <w:sz w:val="20"/>
        </w:rPr>
        <w:t xml:space="preserve">to increase Tier 2 capital for 2024-2025 according to Decision </w:t>
      </w:r>
      <w:r w:rsidR="008847FE" w:rsidRPr="00114A84">
        <w:rPr>
          <w:rFonts w:ascii="Arial" w:hAnsi="Arial" w:cs="Arial"/>
          <w:color w:val="010000"/>
          <w:sz w:val="20"/>
        </w:rPr>
        <w:t xml:space="preserve">No. </w:t>
      </w:r>
      <w:r w:rsidRPr="00114A84">
        <w:rPr>
          <w:rFonts w:ascii="Arial" w:hAnsi="Arial" w:cs="Arial"/>
          <w:color w:val="010000"/>
          <w:sz w:val="20"/>
        </w:rPr>
        <w:t>34/24/</w:t>
      </w:r>
      <w:proofErr w:type="spellStart"/>
      <w:r w:rsidRPr="00114A84">
        <w:rPr>
          <w:rFonts w:ascii="Arial" w:hAnsi="Arial" w:cs="Arial"/>
          <w:color w:val="010000"/>
          <w:sz w:val="20"/>
        </w:rPr>
        <w:t>BVBank</w:t>
      </w:r>
      <w:proofErr w:type="spellEnd"/>
      <w:r w:rsidRPr="00114A84">
        <w:rPr>
          <w:rFonts w:ascii="Arial" w:hAnsi="Arial" w:cs="Arial"/>
          <w:color w:val="010000"/>
          <w:sz w:val="20"/>
        </w:rPr>
        <w:t>/QD-HDQT dated March 26, 2024, of the Board of Directors of Viet Capital Bank, as follows:</w:t>
      </w:r>
      <w:r w:rsidR="00496083" w:rsidRPr="00114A84">
        <w:rPr>
          <w:rFonts w:ascii="Arial" w:hAnsi="Arial" w:cs="Arial"/>
          <w:color w:val="010000"/>
          <w:sz w:val="20"/>
        </w:rPr>
        <w:t xml:space="preserve"> </w:t>
      </w:r>
    </w:p>
    <w:p w14:paraId="00000004" w14:textId="77777777" w:rsidR="00FA576D" w:rsidRPr="00114A84" w:rsidRDefault="00114A84" w:rsidP="0073724C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114A84">
        <w:rPr>
          <w:rFonts w:ascii="Arial" w:hAnsi="Arial" w:cs="Arial"/>
          <w:color w:val="010000"/>
          <w:sz w:val="20"/>
        </w:rPr>
        <w:t>“9.1. Principle of interest rate determination:</w:t>
      </w:r>
    </w:p>
    <w:p w14:paraId="00000005" w14:textId="77777777" w:rsidR="00FA576D" w:rsidRPr="00114A84" w:rsidRDefault="00114A84" w:rsidP="0073724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114A84">
        <w:rPr>
          <w:rFonts w:ascii="Arial" w:hAnsi="Arial" w:cs="Arial"/>
          <w:color w:val="010000"/>
          <w:sz w:val="20"/>
        </w:rPr>
        <w:t>Applicable method of interest rate: Fixed interest rate and/or Floating interest rate.</w:t>
      </w:r>
    </w:p>
    <w:p w14:paraId="00000006" w14:textId="77777777" w:rsidR="00FA576D" w:rsidRPr="00114A84" w:rsidRDefault="00114A84" w:rsidP="0073724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114A84">
        <w:rPr>
          <w:rFonts w:ascii="Arial" w:hAnsi="Arial" w:cs="Arial"/>
          <w:color w:val="010000"/>
          <w:sz w:val="20"/>
        </w:rPr>
        <w:t>Fixed interest rate: Up to 8.5%/year.</w:t>
      </w:r>
    </w:p>
    <w:p w14:paraId="00000007" w14:textId="77777777" w:rsidR="00FA576D" w:rsidRPr="00114A84" w:rsidRDefault="00114A84" w:rsidP="0073724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114A84">
        <w:rPr>
          <w:rFonts w:ascii="Arial" w:hAnsi="Arial" w:cs="Arial"/>
          <w:color w:val="010000"/>
          <w:sz w:val="20"/>
        </w:rPr>
        <w:t>Floating interest rate:</w:t>
      </w:r>
    </w:p>
    <w:p w14:paraId="00000008" w14:textId="77777777" w:rsidR="00FA576D" w:rsidRPr="00114A84" w:rsidRDefault="00114A84" w:rsidP="0073724C">
      <w:pPr>
        <w:keepNext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114A84">
        <w:rPr>
          <w:rFonts w:ascii="Arial" w:hAnsi="Arial" w:cs="Arial"/>
          <w:color w:val="010000"/>
          <w:sz w:val="20"/>
        </w:rPr>
        <w:t>The floating interest rate is determined according to t</w:t>
      </w:r>
      <w:bookmarkStart w:id="0" w:name="_GoBack"/>
      <w:bookmarkEnd w:id="0"/>
      <w:r w:rsidRPr="00114A84">
        <w:rPr>
          <w:rFonts w:ascii="Arial" w:hAnsi="Arial" w:cs="Arial"/>
          <w:color w:val="010000"/>
          <w:sz w:val="20"/>
        </w:rPr>
        <w:t>he reference interest rate, the interest rate margin, and is calculated using the following formula: Interest Rate = Reference Interest Rate + Interest Rate Margin (maximum 3.5%/year).</w:t>
      </w:r>
    </w:p>
    <w:p w14:paraId="00000009" w14:textId="2E1853DB" w:rsidR="00FA576D" w:rsidRPr="00114A84" w:rsidRDefault="00114A84" w:rsidP="0073724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114A84">
        <w:rPr>
          <w:rFonts w:ascii="Arial" w:hAnsi="Arial" w:cs="Arial"/>
          <w:color w:val="010000"/>
          <w:sz w:val="20"/>
        </w:rPr>
        <w:t xml:space="preserve">Reference interest </w:t>
      </w:r>
      <w:r w:rsidR="00412127" w:rsidRPr="00114A84">
        <w:rPr>
          <w:rFonts w:ascii="Arial" w:hAnsi="Arial" w:cs="Arial"/>
          <w:color w:val="010000"/>
          <w:sz w:val="20"/>
        </w:rPr>
        <w:t>r</w:t>
      </w:r>
      <w:r w:rsidRPr="00114A84">
        <w:rPr>
          <w:rFonts w:ascii="Arial" w:hAnsi="Arial" w:cs="Arial"/>
          <w:color w:val="010000"/>
          <w:sz w:val="20"/>
        </w:rPr>
        <w:t xml:space="preserve">ate: is the average of the personal savings interest rates in </w:t>
      </w:r>
      <w:r w:rsidR="00412127" w:rsidRPr="00114A84">
        <w:rPr>
          <w:rFonts w:ascii="Arial" w:hAnsi="Arial" w:cs="Arial"/>
          <w:color w:val="010000"/>
          <w:sz w:val="20"/>
        </w:rPr>
        <w:t>VND,</w:t>
      </w:r>
      <w:r w:rsidRPr="00114A84">
        <w:rPr>
          <w:rFonts w:ascii="Arial" w:hAnsi="Arial" w:cs="Arial"/>
          <w:color w:val="010000"/>
          <w:sz w:val="20"/>
        </w:rPr>
        <w:t xml:space="preserve"> for a 12-month term (or equivalent), with interest paid at the end of the term, as </w:t>
      </w:r>
      <w:r w:rsidR="00412127" w:rsidRPr="00114A84">
        <w:rPr>
          <w:rFonts w:ascii="Arial" w:hAnsi="Arial" w:cs="Arial"/>
          <w:color w:val="010000"/>
          <w:sz w:val="20"/>
        </w:rPr>
        <w:t>announced</w:t>
      </w:r>
      <w:r w:rsidRPr="00114A84">
        <w:rPr>
          <w:rFonts w:ascii="Arial" w:hAnsi="Arial" w:cs="Arial"/>
          <w:color w:val="010000"/>
          <w:sz w:val="20"/>
        </w:rPr>
        <w:t xml:space="preserve"> on the official websites of the following 04 Vietnamese commercial banks, abbreviated as follows: </w:t>
      </w:r>
      <w:proofErr w:type="spellStart"/>
      <w:r w:rsidRPr="00114A84">
        <w:rPr>
          <w:rFonts w:ascii="Arial" w:hAnsi="Arial" w:cs="Arial"/>
          <w:color w:val="010000"/>
          <w:sz w:val="20"/>
        </w:rPr>
        <w:t>Vietcombank</w:t>
      </w:r>
      <w:proofErr w:type="spellEnd"/>
      <w:r w:rsidRPr="00114A84">
        <w:rPr>
          <w:rFonts w:ascii="Arial" w:hAnsi="Arial" w:cs="Arial"/>
          <w:color w:val="010000"/>
          <w:sz w:val="20"/>
        </w:rPr>
        <w:t xml:space="preserve">, </w:t>
      </w:r>
      <w:proofErr w:type="spellStart"/>
      <w:r w:rsidRPr="00114A84">
        <w:rPr>
          <w:rFonts w:ascii="Arial" w:hAnsi="Arial" w:cs="Arial"/>
          <w:color w:val="010000"/>
          <w:sz w:val="20"/>
        </w:rPr>
        <w:t>Vietinbank</w:t>
      </w:r>
      <w:proofErr w:type="spellEnd"/>
      <w:r w:rsidRPr="00114A84">
        <w:rPr>
          <w:rFonts w:ascii="Arial" w:hAnsi="Arial" w:cs="Arial"/>
          <w:color w:val="010000"/>
          <w:sz w:val="20"/>
        </w:rPr>
        <w:t xml:space="preserve">, BIDV and </w:t>
      </w:r>
      <w:proofErr w:type="spellStart"/>
      <w:r w:rsidRPr="00114A84">
        <w:rPr>
          <w:rFonts w:ascii="Arial" w:hAnsi="Arial" w:cs="Arial"/>
          <w:color w:val="010000"/>
          <w:sz w:val="20"/>
        </w:rPr>
        <w:t>Agribank</w:t>
      </w:r>
      <w:proofErr w:type="spellEnd"/>
      <w:r w:rsidRPr="00114A84">
        <w:rPr>
          <w:rFonts w:ascii="Arial" w:hAnsi="Arial" w:cs="Arial"/>
          <w:color w:val="010000"/>
          <w:sz w:val="20"/>
        </w:rPr>
        <w:t xml:space="preserve"> (each of these banks is called "Reference Bank") on the interest rate determination date. In case the website displays multiple locations/regions, priority is given to the interest rate at the location where the </w:t>
      </w:r>
      <w:r w:rsidR="00A11AD5" w:rsidRPr="00114A84">
        <w:rPr>
          <w:rFonts w:ascii="Arial" w:hAnsi="Arial" w:cs="Arial"/>
          <w:color w:val="010000"/>
          <w:sz w:val="20"/>
        </w:rPr>
        <w:t>H</w:t>
      </w:r>
      <w:r w:rsidRPr="00114A84">
        <w:rPr>
          <w:rFonts w:ascii="Arial" w:hAnsi="Arial" w:cs="Arial"/>
          <w:color w:val="010000"/>
          <w:sz w:val="20"/>
        </w:rPr>
        <w:t xml:space="preserve">eadquarters of the respective reference bank is </w:t>
      </w:r>
      <w:r w:rsidR="00A11AD5" w:rsidRPr="00114A84">
        <w:rPr>
          <w:rFonts w:ascii="Arial" w:hAnsi="Arial" w:cs="Arial"/>
          <w:color w:val="010000"/>
          <w:sz w:val="20"/>
        </w:rPr>
        <w:t>located</w:t>
      </w:r>
      <w:r w:rsidRPr="00114A84">
        <w:rPr>
          <w:rFonts w:ascii="Arial" w:hAnsi="Arial" w:cs="Arial"/>
          <w:color w:val="010000"/>
          <w:sz w:val="20"/>
        </w:rPr>
        <w:t>.</w:t>
      </w:r>
    </w:p>
    <w:p w14:paraId="0000000A" w14:textId="42DCE92A" w:rsidR="00FA576D" w:rsidRPr="00114A84" w:rsidRDefault="00114A84" w:rsidP="0073724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33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114A84">
        <w:rPr>
          <w:rFonts w:ascii="Arial" w:hAnsi="Arial" w:cs="Arial"/>
          <w:color w:val="010000"/>
          <w:sz w:val="20"/>
        </w:rPr>
        <w:t>Interest rate margin: the percentage per year added to the Reference Interest Rate.</w:t>
      </w:r>
    </w:p>
    <w:p w14:paraId="0000000B" w14:textId="51FB741E" w:rsidR="00FA576D" w:rsidRPr="00114A84" w:rsidRDefault="00114A84" w:rsidP="0073724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26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114A84">
        <w:rPr>
          <w:rFonts w:ascii="Arial" w:hAnsi="Arial" w:cs="Arial"/>
          <w:color w:val="010000"/>
          <w:sz w:val="20"/>
        </w:rPr>
        <w:t xml:space="preserve">Interest Rate Determination Date: </w:t>
      </w:r>
      <w:r w:rsidR="004D3FAD" w:rsidRPr="00114A84">
        <w:rPr>
          <w:rFonts w:ascii="Arial" w:hAnsi="Arial" w:cs="Arial"/>
          <w:color w:val="010000"/>
          <w:sz w:val="20"/>
        </w:rPr>
        <w:t xml:space="preserve">officially </w:t>
      </w:r>
      <w:r w:rsidRPr="00114A84">
        <w:rPr>
          <w:rFonts w:ascii="Arial" w:hAnsi="Arial" w:cs="Arial"/>
          <w:color w:val="010000"/>
          <w:sz w:val="20"/>
        </w:rPr>
        <w:t xml:space="preserve">announced when disclosing information </w:t>
      </w:r>
      <w:r w:rsidR="00AF2187" w:rsidRPr="00114A84">
        <w:rPr>
          <w:rFonts w:ascii="Arial" w:hAnsi="Arial" w:cs="Arial"/>
          <w:color w:val="010000"/>
          <w:sz w:val="20"/>
        </w:rPr>
        <w:t xml:space="preserve">before </w:t>
      </w:r>
      <w:r w:rsidRPr="00114A84">
        <w:rPr>
          <w:rFonts w:ascii="Arial" w:hAnsi="Arial" w:cs="Arial"/>
          <w:color w:val="010000"/>
          <w:sz w:val="20"/>
        </w:rPr>
        <w:t>each issuance and/or before each Interest Calculation Period.</w:t>
      </w:r>
    </w:p>
    <w:p w14:paraId="0000000C" w14:textId="29F7B733" w:rsidR="00FA576D" w:rsidRPr="00114A84" w:rsidRDefault="00114A84" w:rsidP="0073724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4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114A84">
        <w:rPr>
          <w:rFonts w:ascii="Arial" w:hAnsi="Arial" w:cs="Arial"/>
          <w:color w:val="010000"/>
          <w:sz w:val="20"/>
        </w:rPr>
        <w:t xml:space="preserve">The Interest Rate Determination Date for the first Interest Calculation Period is the date on which applications for </w:t>
      </w:r>
      <w:r w:rsidR="004D3FAD" w:rsidRPr="00114A84">
        <w:rPr>
          <w:rFonts w:ascii="Arial" w:hAnsi="Arial" w:cs="Arial"/>
          <w:color w:val="010000"/>
          <w:sz w:val="20"/>
        </w:rPr>
        <w:t>b</w:t>
      </w:r>
      <w:r w:rsidRPr="00114A84">
        <w:rPr>
          <w:rFonts w:ascii="Arial" w:hAnsi="Arial" w:cs="Arial"/>
          <w:color w:val="010000"/>
          <w:sz w:val="20"/>
        </w:rPr>
        <w:t>ond purchase are received.</w:t>
      </w:r>
    </w:p>
    <w:p w14:paraId="0000000D" w14:textId="2ABC6D3F" w:rsidR="00FA576D" w:rsidRPr="00114A84" w:rsidRDefault="00114A84" w:rsidP="0073724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4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114A84">
        <w:rPr>
          <w:rFonts w:ascii="Arial" w:hAnsi="Arial" w:cs="Arial"/>
          <w:color w:val="010000"/>
          <w:sz w:val="20"/>
        </w:rPr>
        <w:t xml:space="preserve">The Interest Rate Determination Date for subsequent Interest Calculation Periods is the 7th </w:t>
      </w:r>
      <w:r w:rsidR="004D3FAD" w:rsidRPr="00114A84">
        <w:rPr>
          <w:rFonts w:ascii="Arial" w:hAnsi="Arial" w:cs="Arial"/>
          <w:color w:val="010000"/>
          <w:sz w:val="20"/>
        </w:rPr>
        <w:t>b</w:t>
      </w:r>
      <w:r w:rsidRPr="00114A84">
        <w:rPr>
          <w:rFonts w:ascii="Arial" w:hAnsi="Arial" w:cs="Arial"/>
          <w:color w:val="010000"/>
          <w:sz w:val="20"/>
        </w:rPr>
        <w:t xml:space="preserve">usiness </w:t>
      </w:r>
      <w:r w:rsidR="004D3FAD" w:rsidRPr="00114A84">
        <w:rPr>
          <w:rFonts w:ascii="Arial" w:hAnsi="Arial" w:cs="Arial"/>
          <w:color w:val="010000"/>
          <w:sz w:val="20"/>
        </w:rPr>
        <w:t>d</w:t>
      </w:r>
      <w:r w:rsidRPr="00114A84">
        <w:rPr>
          <w:rFonts w:ascii="Arial" w:hAnsi="Arial" w:cs="Arial"/>
          <w:color w:val="010000"/>
          <w:sz w:val="20"/>
        </w:rPr>
        <w:t xml:space="preserve">ay </w:t>
      </w:r>
      <w:r w:rsidR="00AF2187" w:rsidRPr="00114A84">
        <w:rPr>
          <w:rFonts w:ascii="Arial" w:hAnsi="Arial" w:cs="Arial"/>
          <w:color w:val="010000"/>
          <w:sz w:val="20"/>
        </w:rPr>
        <w:t xml:space="preserve">before </w:t>
      </w:r>
      <w:r w:rsidRPr="00114A84">
        <w:rPr>
          <w:rFonts w:ascii="Arial" w:hAnsi="Arial" w:cs="Arial"/>
          <w:color w:val="010000"/>
          <w:sz w:val="20"/>
        </w:rPr>
        <w:t xml:space="preserve">the first day of each Interest Calculation Period and will be announced on the website of Viet Capital Bank within 02 </w:t>
      </w:r>
      <w:r w:rsidR="004D3FAD" w:rsidRPr="00114A84">
        <w:rPr>
          <w:rFonts w:ascii="Arial" w:hAnsi="Arial" w:cs="Arial"/>
          <w:color w:val="010000"/>
          <w:sz w:val="20"/>
        </w:rPr>
        <w:t>b</w:t>
      </w:r>
      <w:r w:rsidRPr="00114A84">
        <w:rPr>
          <w:rFonts w:ascii="Arial" w:hAnsi="Arial" w:cs="Arial"/>
          <w:color w:val="010000"/>
          <w:sz w:val="20"/>
        </w:rPr>
        <w:t xml:space="preserve">usiness </w:t>
      </w:r>
      <w:r w:rsidR="004D3FAD" w:rsidRPr="00114A84">
        <w:rPr>
          <w:rFonts w:ascii="Arial" w:hAnsi="Arial" w:cs="Arial"/>
          <w:color w:val="010000"/>
          <w:sz w:val="20"/>
        </w:rPr>
        <w:t>d</w:t>
      </w:r>
      <w:r w:rsidRPr="00114A84">
        <w:rPr>
          <w:rFonts w:ascii="Arial" w:hAnsi="Arial" w:cs="Arial"/>
          <w:color w:val="010000"/>
          <w:sz w:val="20"/>
        </w:rPr>
        <w:t>ays from the Interest Rate Determination Date.</w:t>
      </w:r>
    </w:p>
    <w:p w14:paraId="0000000E" w14:textId="2098DF4C" w:rsidR="00FA576D" w:rsidRPr="00114A84" w:rsidRDefault="00114A84" w:rsidP="0073724C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114A84">
        <w:rPr>
          <w:rFonts w:ascii="Arial" w:hAnsi="Arial" w:cs="Arial"/>
          <w:color w:val="010000"/>
          <w:sz w:val="20"/>
        </w:rPr>
        <w:t xml:space="preserve">‎‎Article 2. This Decision takes effect from the date of its signing. The above contents of the adjustment only apply to public </w:t>
      </w:r>
      <w:r w:rsidR="004D3FAD" w:rsidRPr="00114A84">
        <w:rPr>
          <w:rFonts w:ascii="Arial" w:hAnsi="Arial" w:cs="Arial"/>
          <w:color w:val="010000"/>
          <w:sz w:val="20"/>
        </w:rPr>
        <w:t>issuances of bonds</w:t>
      </w:r>
      <w:r w:rsidRPr="00114A84">
        <w:rPr>
          <w:rFonts w:ascii="Arial" w:hAnsi="Arial" w:cs="Arial"/>
          <w:color w:val="010000"/>
          <w:sz w:val="20"/>
        </w:rPr>
        <w:t xml:space="preserve"> starting from the 2nd </w:t>
      </w:r>
      <w:r w:rsidR="004D3FAD" w:rsidRPr="00114A84">
        <w:rPr>
          <w:rFonts w:ascii="Arial" w:hAnsi="Arial" w:cs="Arial"/>
          <w:color w:val="010000"/>
          <w:sz w:val="20"/>
        </w:rPr>
        <w:t>round</w:t>
      </w:r>
      <w:r w:rsidRPr="00114A84">
        <w:rPr>
          <w:rFonts w:ascii="Arial" w:hAnsi="Arial" w:cs="Arial"/>
          <w:color w:val="010000"/>
          <w:sz w:val="20"/>
        </w:rPr>
        <w:t xml:space="preserve"> onwards, while all other contents remain unchanged as per Decision </w:t>
      </w:r>
      <w:r w:rsidR="008847FE" w:rsidRPr="00114A84">
        <w:rPr>
          <w:rFonts w:ascii="Arial" w:hAnsi="Arial" w:cs="Arial"/>
          <w:color w:val="010000"/>
          <w:sz w:val="20"/>
        </w:rPr>
        <w:t xml:space="preserve">No. </w:t>
      </w:r>
      <w:r w:rsidRPr="00114A84">
        <w:rPr>
          <w:rFonts w:ascii="Arial" w:hAnsi="Arial" w:cs="Arial"/>
          <w:color w:val="010000"/>
          <w:sz w:val="20"/>
        </w:rPr>
        <w:t>34/24/</w:t>
      </w:r>
      <w:proofErr w:type="spellStart"/>
      <w:r w:rsidRPr="00114A84">
        <w:rPr>
          <w:rFonts w:ascii="Arial" w:hAnsi="Arial" w:cs="Arial"/>
          <w:color w:val="010000"/>
          <w:sz w:val="20"/>
        </w:rPr>
        <w:t>BVBank</w:t>
      </w:r>
      <w:proofErr w:type="spellEnd"/>
      <w:r w:rsidRPr="00114A84">
        <w:rPr>
          <w:rFonts w:ascii="Arial" w:hAnsi="Arial" w:cs="Arial"/>
          <w:color w:val="010000"/>
          <w:sz w:val="20"/>
        </w:rPr>
        <w:t>/QD-HDQT dated March 26, 2024.</w:t>
      </w:r>
    </w:p>
    <w:p w14:paraId="0000000F" w14:textId="35A4A032" w:rsidR="00FA576D" w:rsidRPr="00114A84" w:rsidRDefault="00114A84" w:rsidP="0073724C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114A84">
        <w:rPr>
          <w:rFonts w:ascii="Arial" w:hAnsi="Arial" w:cs="Arial"/>
          <w:color w:val="010000"/>
          <w:sz w:val="20"/>
        </w:rPr>
        <w:t xml:space="preserve">‎‎Article 3. Assign the General Manager, pursuant to Articles 1 and 2 of this Decision, to further implement the plan on </w:t>
      </w:r>
      <w:r w:rsidR="0069731F" w:rsidRPr="00114A84">
        <w:rPr>
          <w:rFonts w:ascii="Arial" w:hAnsi="Arial" w:cs="Arial"/>
          <w:color w:val="010000"/>
          <w:sz w:val="20"/>
        </w:rPr>
        <w:t>the public issuance of bonds</w:t>
      </w:r>
      <w:r w:rsidRPr="00114A84">
        <w:rPr>
          <w:rFonts w:ascii="Arial" w:hAnsi="Arial" w:cs="Arial"/>
          <w:color w:val="010000"/>
          <w:sz w:val="20"/>
        </w:rPr>
        <w:t>, ensuring compliance with the contents approved by the Board of Directors, the interests of Viet Capital Bank, and in accordance with the provisions of law.</w:t>
      </w:r>
    </w:p>
    <w:p w14:paraId="00000010" w14:textId="77777777" w:rsidR="00FA576D" w:rsidRPr="00114A84" w:rsidRDefault="00114A84" w:rsidP="0073724C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bookmarkStart w:id="1" w:name="_heading=h.gjdgxs"/>
      <w:bookmarkEnd w:id="1"/>
      <w:r w:rsidRPr="00114A84">
        <w:rPr>
          <w:rFonts w:ascii="Arial" w:hAnsi="Arial" w:cs="Arial"/>
          <w:color w:val="010000"/>
          <w:sz w:val="20"/>
        </w:rPr>
        <w:lastRenderedPageBreak/>
        <w:t>‎‎Article 4. Members of the Board of Management, the Executive Board, relevant units and individuals of Viet Capital Bank are responsible for the implementation of this Decision./.</w:t>
      </w:r>
    </w:p>
    <w:sectPr w:rsidR="00FA576D" w:rsidRPr="00114A84" w:rsidSect="008847FE">
      <w:pgSz w:w="11907" w:h="16839"/>
      <w:pgMar w:top="1440" w:right="1440" w:bottom="1440" w:left="1440" w:header="0" w:footer="3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BB1ABD21-8743-46A5-B28F-4B2FA30E08F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1A7D83DB-C14D-4443-9184-A12E02FBDCBE}"/>
    <w:embedItalic r:id="rId3" w:fontKey="{AE3B9658-8F5B-436E-B890-30DFDB2F6F9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C4005421-42E4-4C21-9C04-65F7B80F859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92030CC-DE22-4D1B-A38F-DB7E7A0F57E3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45668A"/>
    <w:multiLevelType w:val="multilevel"/>
    <w:tmpl w:val="2B56090A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b w:val="0"/>
        <w:i w:val="0"/>
        <w:sz w:val="20"/>
        <w:szCs w:val="20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b w:val="0"/>
        <w:i w:val="0"/>
        <w:sz w:val="20"/>
        <w:szCs w:val="20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Arial" w:eastAsia="Arial" w:hAnsi="Arial" w:cs="Arial"/>
        <w:b w:val="0"/>
        <w:i w:val="0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A5D628A"/>
    <w:multiLevelType w:val="multilevel"/>
    <w:tmpl w:val="FD16FF96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  <w:i w:val="0"/>
        <w:sz w:val="20"/>
        <w:szCs w:val="20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b w:val="0"/>
        <w:i w:val="0"/>
        <w:sz w:val="20"/>
        <w:szCs w:val="20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Arial" w:eastAsia="Arial" w:hAnsi="Arial" w:cs="Arial"/>
        <w:b w:val="0"/>
        <w:i w:val="0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87177F9"/>
    <w:multiLevelType w:val="multilevel"/>
    <w:tmpl w:val="BDA8742A"/>
    <w:lvl w:ilvl="0">
      <w:start w:val="1"/>
      <w:numFmt w:val="bullet"/>
      <w:lvlText w:val="▪"/>
      <w:lvlJc w:val="left"/>
      <w:pPr>
        <w:ind w:left="0" w:firstLine="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z w:val="20"/>
        <w:szCs w:val="20"/>
      </w:rPr>
    </w:lvl>
    <w:lvl w:ilvl="2"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z w:val="20"/>
        <w:szCs w:val="20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76D"/>
    <w:rsid w:val="000C220F"/>
    <w:rsid w:val="00114A84"/>
    <w:rsid w:val="0017247B"/>
    <w:rsid w:val="003D4EF9"/>
    <w:rsid w:val="00412127"/>
    <w:rsid w:val="00496083"/>
    <w:rsid w:val="004D3FAD"/>
    <w:rsid w:val="0069731F"/>
    <w:rsid w:val="0073724C"/>
    <w:rsid w:val="008847FE"/>
    <w:rsid w:val="00A11AD5"/>
    <w:rsid w:val="00AF2187"/>
    <w:rsid w:val="00FA5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EABB837"/>
  <w15:docId w15:val="{2717BB31-5E7B-41F9-84E0-8D98DE39B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color w:val="000000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BodyTextChar">
    <w:name w:val="Body Text Char"/>
    <w:basedOn w:val="DefaultParagraphFont"/>
    <w:link w:val="BodyTex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Heading10">
    <w:name w:val="Heading #1_"/>
    <w:basedOn w:val="DefaultParagraphFont"/>
    <w:link w:val="Heading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Bodytext5">
    <w:name w:val="Body text (5)_"/>
    <w:basedOn w:val="DefaultParagraphFont"/>
    <w:link w:val="Bodytext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  <w:shd w:val="clear" w:color="auto" w:fill="auto"/>
    </w:rPr>
  </w:style>
  <w:style w:type="character" w:customStyle="1" w:styleId="Bodytext2">
    <w:name w:val="Body text (2)_"/>
    <w:basedOn w:val="DefaultParagraphFont"/>
    <w:link w:val="Bodytext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9"/>
      <w:szCs w:val="19"/>
      <w:u w:val="none"/>
      <w:shd w:val="clear" w:color="auto" w:fill="auto"/>
    </w:rPr>
  </w:style>
  <w:style w:type="character" w:customStyle="1" w:styleId="Heading20">
    <w:name w:val="Heading #2_"/>
    <w:basedOn w:val="DefaultParagraphFont"/>
    <w:link w:val="Heading21"/>
    <w:rPr>
      <w:rFonts w:ascii="Times New Roman" w:eastAsia="Times New Roman" w:hAnsi="Times New Roman" w:cs="Times New Roman"/>
      <w:b/>
      <w:bCs/>
      <w:i/>
      <w:iCs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Bodytext4">
    <w:name w:val="Body text (4)_"/>
    <w:basedOn w:val="DefaultParagraphFont"/>
    <w:link w:val="Bodytext40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  <w:shd w:val="clear" w:color="auto" w:fill="auto"/>
    </w:rPr>
  </w:style>
  <w:style w:type="character" w:customStyle="1" w:styleId="Bodytext6">
    <w:name w:val="Body text (6)_"/>
    <w:basedOn w:val="DefaultParagraphFont"/>
    <w:link w:val="Bodytext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B0202"/>
      <w:sz w:val="9"/>
      <w:szCs w:val="9"/>
      <w:u w:val="none"/>
      <w:shd w:val="clear" w:color="auto" w:fill="auto"/>
    </w:rPr>
  </w:style>
  <w:style w:type="character" w:customStyle="1" w:styleId="Bodytext3">
    <w:name w:val="Body text (3)_"/>
    <w:basedOn w:val="DefaultParagraphFont"/>
    <w:link w:val="Bodytext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B0202"/>
      <w:sz w:val="14"/>
      <w:szCs w:val="14"/>
      <w:u w:val="none"/>
      <w:shd w:val="clear" w:color="auto" w:fill="auto"/>
    </w:rPr>
  </w:style>
  <w:style w:type="paragraph" w:styleId="BodyText">
    <w:name w:val="Body Text"/>
    <w:basedOn w:val="Normal"/>
    <w:link w:val="BodyTextChar"/>
    <w:qFormat/>
    <w:pPr>
      <w:spacing w:line="290" w:lineRule="auto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Heading11">
    <w:name w:val="Heading #1"/>
    <w:basedOn w:val="Normal"/>
    <w:link w:val="Heading10"/>
    <w:pPr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Bodytext50">
    <w:name w:val="Body text (5)"/>
    <w:basedOn w:val="Normal"/>
    <w:link w:val="Bodytext5"/>
    <w:pPr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Bodytext20">
    <w:name w:val="Body text (2)"/>
    <w:basedOn w:val="Normal"/>
    <w:link w:val="Bodytext2"/>
    <w:pPr>
      <w:spacing w:line="305" w:lineRule="auto"/>
    </w:pPr>
    <w:rPr>
      <w:rFonts w:ascii="Times New Roman" w:eastAsia="Times New Roman" w:hAnsi="Times New Roman" w:cs="Times New Roman"/>
      <w:i/>
      <w:iCs/>
      <w:sz w:val="19"/>
      <w:szCs w:val="19"/>
    </w:rPr>
  </w:style>
  <w:style w:type="paragraph" w:customStyle="1" w:styleId="Heading21">
    <w:name w:val="Heading #2"/>
    <w:basedOn w:val="Normal"/>
    <w:link w:val="Heading20"/>
    <w:pPr>
      <w:spacing w:line="288" w:lineRule="auto"/>
      <w:outlineLvl w:val="1"/>
    </w:pPr>
    <w:rPr>
      <w:rFonts w:ascii="Times New Roman" w:eastAsia="Times New Roman" w:hAnsi="Times New Roman" w:cs="Times New Roman"/>
      <w:b/>
      <w:bCs/>
      <w:i/>
      <w:iCs/>
      <w:sz w:val="22"/>
      <w:szCs w:val="22"/>
    </w:rPr>
  </w:style>
  <w:style w:type="paragraph" w:customStyle="1" w:styleId="Bodytext40">
    <w:name w:val="Body text (4)"/>
    <w:basedOn w:val="Normal"/>
    <w:link w:val="Bodytext4"/>
    <w:rPr>
      <w:rFonts w:ascii="Arial" w:eastAsia="Arial" w:hAnsi="Arial" w:cs="Arial"/>
      <w:sz w:val="14"/>
      <w:szCs w:val="14"/>
    </w:rPr>
  </w:style>
  <w:style w:type="paragraph" w:customStyle="1" w:styleId="Bodytext60">
    <w:name w:val="Body text (6)"/>
    <w:basedOn w:val="Normal"/>
    <w:link w:val="Bodytext6"/>
    <w:rPr>
      <w:rFonts w:ascii="Times New Roman" w:eastAsia="Times New Roman" w:hAnsi="Times New Roman" w:cs="Times New Roman"/>
      <w:color w:val="FB0202"/>
      <w:sz w:val="9"/>
      <w:szCs w:val="9"/>
    </w:rPr>
  </w:style>
  <w:style w:type="paragraph" w:customStyle="1" w:styleId="Bodytext30">
    <w:name w:val="Body text (3)"/>
    <w:basedOn w:val="Normal"/>
    <w:link w:val="Bodytext3"/>
    <w:pPr>
      <w:spacing w:line="226" w:lineRule="auto"/>
    </w:pPr>
    <w:rPr>
      <w:rFonts w:ascii="Times New Roman" w:eastAsia="Times New Roman" w:hAnsi="Times New Roman" w:cs="Times New Roman"/>
      <w:color w:val="FB0202"/>
      <w:sz w:val="14"/>
      <w:szCs w:val="1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EwcP7B1BZTn/nvqQhJtwYZobIg==">CgMxLjAyCGguZ2pkZ3hzOAByITFYUUl5NEpETy0xdEhzeEd3M1BZekJOVUR2dXRBZjFCNg==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444</Words>
  <Characters>2536</Characters>
  <Application>Microsoft Office Word</Application>
  <DocSecurity>0</DocSecurity>
  <Lines>21</Lines>
  <Paragraphs>5</Paragraphs>
  <ScaleCrop>false</ScaleCrop>
  <Company/>
  <LinksUpToDate>false</LinksUpToDate>
  <CharactersWithSpaces>2975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Hoang Phuong Thao</cp:lastModifiedBy>
  <cp:revision>12</cp:revision>
  <dcterms:created xsi:type="dcterms:W3CDTF">2024-10-10T03:39:00Z</dcterms:created>
  <dcterms:modified xsi:type="dcterms:W3CDTF">2024-10-11T07:39:00Z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6f1dbc12fd0ef10a81b9ce50a9d1897bc4572f8bd494dcace94542dffeb797f7</vt:lpwstr>
  </property>
</Properties>
</file>