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0211" w:rsidRPr="00D8617B" w:rsidRDefault="00D8617B" w:rsidP="00492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8617B">
        <w:rPr>
          <w:rFonts w:ascii="Arial" w:hAnsi="Arial" w:cs="Arial"/>
          <w:b/>
          <w:color w:val="010000"/>
          <w:sz w:val="20"/>
        </w:rPr>
        <w:t>MCF: Board Resolution</w:t>
      </w:r>
    </w:p>
    <w:p w14:paraId="00000002" w14:textId="5EAC6385" w:rsidR="00270211" w:rsidRPr="00D8617B" w:rsidRDefault="00D8617B" w:rsidP="00492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On October 9, 2024, </w:t>
      </w:r>
      <w:proofErr w:type="spellStart"/>
      <w:r w:rsidRPr="00D8617B">
        <w:rPr>
          <w:rFonts w:ascii="Arial" w:hAnsi="Arial" w:cs="Arial"/>
          <w:color w:val="010000"/>
          <w:sz w:val="20"/>
        </w:rPr>
        <w:t>Mechannics</w:t>
      </w:r>
      <w:proofErr w:type="spellEnd"/>
      <w:r w:rsidRPr="00D8617B">
        <w:rPr>
          <w:rFonts w:ascii="Arial" w:hAnsi="Arial" w:cs="Arial"/>
          <w:color w:val="010000"/>
          <w:sz w:val="20"/>
        </w:rPr>
        <w:t xml:space="preserve"> Construction and Foodstuff JSC announced Resolution </w:t>
      </w:r>
      <w:r w:rsidR="003B5396" w:rsidRPr="00D8617B">
        <w:rPr>
          <w:rFonts w:ascii="Arial" w:hAnsi="Arial" w:cs="Arial"/>
          <w:color w:val="010000"/>
          <w:sz w:val="20"/>
        </w:rPr>
        <w:t xml:space="preserve">No. </w:t>
      </w:r>
      <w:r w:rsidRPr="00D8617B">
        <w:rPr>
          <w:rFonts w:ascii="Arial" w:hAnsi="Arial" w:cs="Arial"/>
          <w:color w:val="010000"/>
          <w:sz w:val="20"/>
        </w:rPr>
        <w:t xml:space="preserve">43/NQ-MCF-HDQT on approving the credit </w:t>
      </w:r>
      <w:proofErr w:type="spellStart"/>
      <w:r w:rsidRPr="00D8617B">
        <w:rPr>
          <w:rFonts w:ascii="Arial" w:hAnsi="Arial" w:cs="Arial"/>
          <w:color w:val="010000"/>
          <w:sz w:val="20"/>
        </w:rPr>
        <w:t>regranting</w:t>
      </w:r>
      <w:proofErr w:type="spellEnd"/>
      <w:r w:rsidRPr="00D8617B">
        <w:rPr>
          <w:rFonts w:ascii="Arial" w:hAnsi="Arial" w:cs="Arial"/>
          <w:color w:val="010000"/>
          <w:sz w:val="20"/>
        </w:rPr>
        <w:t xml:space="preserve"> and mortgage of assets at Joint Stock Commercial Bank for Foreign Trade of Vietnam - Long </w:t>
      </w:r>
      <w:proofErr w:type="gramStart"/>
      <w:r w:rsidRPr="00D8617B">
        <w:rPr>
          <w:rFonts w:ascii="Arial" w:hAnsi="Arial" w:cs="Arial"/>
          <w:color w:val="010000"/>
          <w:sz w:val="20"/>
        </w:rPr>
        <w:t>An</w:t>
      </w:r>
      <w:proofErr w:type="gramEnd"/>
      <w:r w:rsidRPr="00D8617B">
        <w:rPr>
          <w:rFonts w:ascii="Arial" w:hAnsi="Arial" w:cs="Arial"/>
          <w:color w:val="010000"/>
          <w:sz w:val="20"/>
        </w:rPr>
        <w:t xml:space="preserve"> Branch, as follows:</w:t>
      </w:r>
    </w:p>
    <w:p w14:paraId="00000003" w14:textId="77777777" w:rsidR="00270211" w:rsidRPr="00D8617B" w:rsidRDefault="00D8617B" w:rsidP="004929B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Article 1: Approve on </w:t>
      </w:r>
      <w:proofErr w:type="spellStart"/>
      <w:r w:rsidRPr="00D8617B">
        <w:rPr>
          <w:rFonts w:ascii="Arial" w:hAnsi="Arial" w:cs="Arial"/>
          <w:color w:val="010000"/>
          <w:sz w:val="20"/>
        </w:rPr>
        <w:t>regranting</w:t>
      </w:r>
      <w:proofErr w:type="spellEnd"/>
      <w:r w:rsidRPr="00D8617B">
        <w:rPr>
          <w:rFonts w:ascii="Arial" w:hAnsi="Arial" w:cs="Arial"/>
          <w:color w:val="010000"/>
          <w:sz w:val="20"/>
        </w:rPr>
        <w:t xml:space="preserve"> credit and mortgaging assets at Joint Stock Commercial Bank for Foreign Trade of Vietnam - Long </w:t>
      </w:r>
      <w:proofErr w:type="gramStart"/>
      <w:r w:rsidRPr="00D8617B">
        <w:rPr>
          <w:rFonts w:ascii="Arial" w:hAnsi="Arial" w:cs="Arial"/>
          <w:color w:val="010000"/>
          <w:sz w:val="20"/>
        </w:rPr>
        <w:t>An</w:t>
      </w:r>
      <w:proofErr w:type="gramEnd"/>
      <w:r w:rsidRPr="00D8617B">
        <w:rPr>
          <w:rFonts w:ascii="Arial" w:hAnsi="Arial" w:cs="Arial"/>
          <w:color w:val="010000"/>
          <w:sz w:val="20"/>
        </w:rPr>
        <w:t xml:space="preserve"> Branch with main contents as follows:</w:t>
      </w:r>
    </w:p>
    <w:p w14:paraId="00000004" w14:textId="77777777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Credit granting limit: VND100,000,000,000. In which:</w:t>
      </w:r>
      <w:bookmarkStart w:id="0" w:name="_GoBack"/>
      <w:bookmarkEnd w:id="0"/>
    </w:p>
    <w:p w14:paraId="00000005" w14:textId="77777777" w:rsidR="00270211" w:rsidRPr="00D8617B" w:rsidRDefault="00D8617B" w:rsidP="004929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Short-term loan limit: VND100,000,000,000.</w:t>
      </w:r>
    </w:p>
    <w:p w14:paraId="00000006" w14:textId="77777777" w:rsidR="00270211" w:rsidRPr="00D8617B" w:rsidRDefault="00D8617B" w:rsidP="004929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Short-term guarantee limit: VND20,000,000,000.</w:t>
      </w:r>
    </w:p>
    <w:p w14:paraId="00000007" w14:textId="77777777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Credit granting term: 12 months from the date of signing the contract.</w:t>
      </w:r>
    </w:p>
    <w:p w14:paraId="00000008" w14:textId="77777777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Credit granting currency: VND or equivalent foreign currency</w:t>
      </w:r>
    </w:p>
    <w:p w14:paraId="00000009" w14:textId="61E2856B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Interest rate: The loan interest rate is </w:t>
      </w:r>
      <w:r w:rsidR="007D7409" w:rsidRPr="00D8617B">
        <w:rPr>
          <w:rFonts w:ascii="Arial" w:hAnsi="Arial" w:cs="Arial"/>
          <w:color w:val="010000"/>
          <w:sz w:val="20"/>
        </w:rPr>
        <w:t>approved on</w:t>
      </w:r>
      <w:r w:rsidRPr="00D8617B">
        <w:rPr>
          <w:rFonts w:ascii="Arial" w:hAnsi="Arial" w:cs="Arial"/>
          <w:color w:val="010000"/>
          <w:sz w:val="20"/>
        </w:rPr>
        <w:t xml:space="preserve"> and regulated according to each Acknowledgment of Debt in accordance with each period of the Bank.</w:t>
      </w:r>
    </w:p>
    <w:p w14:paraId="0000000A" w14:textId="77777777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Purpose: To finance short-term, legal, reasonable, and valid credit needs serving the production and business of the Company, but not including short-term needs serving fixed asset investment activities.</w:t>
      </w:r>
    </w:p>
    <w:p w14:paraId="0000000B" w14:textId="77777777" w:rsidR="00270211" w:rsidRPr="00D8617B" w:rsidRDefault="00D8617B" w:rsidP="00492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Specific security measures are as follows:</w:t>
      </w:r>
    </w:p>
    <w:p w14:paraId="0000000C" w14:textId="39A1B631" w:rsidR="00270211" w:rsidRPr="00D8617B" w:rsidRDefault="00D8617B" w:rsidP="00492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Approve on continuing to mortgage assets, machinery, equipment, and means of transport listed in the List of assets attached to Meeting Minutes of the Board of Directors of </w:t>
      </w:r>
      <w:proofErr w:type="spellStart"/>
      <w:r w:rsidRPr="00D8617B">
        <w:rPr>
          <w:rFonts w:ascii="Arial" w:hAnsi="Arial" w:cs="Arial"/>
          <w:color w:val="010000"/>
          <w:sz w:val="20"/>
        </w:rPr>
        <w:t>Mechannics</w:t>
      </w:r>
      <w:proofErr w:type="spellEnd"/>
      <w:r w:rsidRPr="00D8617B">
        <w:rPr>
          <w:rFonts w:ascii="Arial" w:hAnsi="Arial" w:cs="Arial"/>
          <w:color w:val="010000"/>
          <w:sz w:val="20"/>
        </w:rPr>
        <w:t xml:space="preserve"> Construction and Foodstuff JSC </w:t>
      </w:r>
      <w:r w:rsidR="003B5396" w:rsidRPr="00D8617B">
        <w:rPr>
          <w:rFonts w:ascii="Arial" w:hAnsi="Arial" w:cs="Arial"/>
          <w:color w:val="010000"/>
          <w:sz w:val="20"/>
        </w:rPr>
        <w:t xml:space="preserve">No. </w:t>
      </w:r>
      <w:r w:rsidRPr="00D8617B">
        <w:rPr>
          <w:rFonts w:ascii="Arial" w:hAnsi="Arial" w:cs="Arial"/>
          <w:color w:val="010000"/>
          <w:sz w:val="20"/>
        </w:rPr>
        <w:t xml:space="preserve">42/BB-MCF-HDQT dated October 9, 2204 to secure the credit facilities mentioned in Section </w:t>
      </w:r>
      <w:proofErr w:type="gramStart"/>
      <w:r w:rsidR="00581DAA" w:rsidRPr="00D8617B">
        <w:rPr>
          <w:rFonts w:ascii="Arial" w:hAnsi="Arial" w:cs="Arial"/>
          <w:color w:val="010000"/>
          <w:sz w:val="20"/>
        </w:rPr>
        <w:t>a</w:t>
      </w:r>
      <w:proofErr w:type="gramEnd"/>
      <w:r w:rsidR="00581DAA" w:rsidRPr="00D8617B">
        <w:rPr>
          <w:rFonts w:ascii="Arial" w:hAnsi="Arial" w:cs="Arial"/>
          <w:color w:val="010000"/>
          <w:sz w:val="20"/>
        </w:rPr>
        <w:t xml:space="preserve"> </w:t>
      </w:r>
      <w:r w:rsidRPr="00D8617B">
        <w:rPr>
          <w:rFonts w:ascii="Arial" w:hAnsi="Arial" w:cs="Arial"/>
          <w:color w:val="010000"/>
          <w:sz w:val="20"/>
        </w:rPr>
        <w:t>above and other payment obligations of the Company at the Bank, specifically as follows:</w:t>
      </w:r>
    </w:p>
    <w:p w14:paraId="0000000D" w14:textId="77777777" w:rsidR="00270211" w:rsidRPr="00D8617B" w:rsidRDefault="00D8617B" w:rsidP="004929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Assets are land use rights, land-attached assets, machinery, equipment, means of transport, securities, goods in circulation during the production and business process/property rights incurred from commercial business contracts/debt collection rights from partners/contracts, and other assets under the ownership and/or legal use right of the Company.</w:t>
      </w:r>
    </w:p>
    <w:p w14:paraId="0000000E" w14:textId="77777777" w:rsidR="00270211" w:rsidRPr="00D8617B" w:rsidRDefault="00D8617B" w:rsidP="004929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Assets are land use rights, land-attached assets, machinery, equipment, means of transport, securities, and other assets under the ownership and/or legal use rights of the Third Party in accordance with the provisions of law.</w:t>
      </w:r>
    </w:p>
    <w:p w14:paraId="0000000F" w14:textId="77777777" w:rsidR="00270211" w:rsidRPr="00D8617B" w:rsidRDefault="00D8617B" w:rsidP="004929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Or request the Bank to grant credit without collateral to the Company.</w:t>
      </w:r>
    </w:p>
    <w:p w14:paraId="00000010" w14:textId="0BD73951" w:rsidR="00270211" w:rsidRPr="00D8617B" w:rsidRDefault="00D8617B" w:rsidP="00492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Approve this mortgage of assets, the Toyota car with license plate </w:t>
      </w:r>
      <w:r w:rsidR="003B5396" w:rsidRPr="00D8617B">
        <w:rPr>
          <w:rFonts w:ascii="Arial" w:hAnsi="Arial" w:cs="Arial"/>
          <w:color w:val="010000"/>
          <w:sz w:val="20"/>
        </w:rPr>
        <w:t xml:space="preserve">No. </w:t>
      </w:r>
      <w:r w:rsidRPr="00D8617B">
        <w:rPr>
          <w:rFonts w:ascii="Arial" w:hAnsi="Arial" w:cs="Arial"/>
          <w:color w:val="010000"/>
          <w:sz w:val="20"/>
        </w:rPr>
        <w:t>62A-396.67 owned by the Company.</w:t>
      </w:r>
    </w:p>
    <w:p w14:paraId="00000011" w14:textId="77777777" w:rsidR="00270211" w:rsidRPr="00D8617B" w:rsidRDefault="00D8617B" w:rsidP="00492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>In case the Company mortgages other assets in the future, it must be approved by the Board of Directors of the Company.</w:t>
      </w:r>
    </w:p>
    <w:p w14:paraId="00000012" w14:textId="5E8AECA5" w:rsidR="00270211" w:rsidRPr="00D8617B" w:rsidRDefault="00D8617B" w:rsidP="004929B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lastRenderedPageBreak/>
        <w:t xml:space="preserve">Article 2: Assign the Legal </w:t>
      </w:r>
      <w:r w:rsidR="00CE37E0" w:rsidRPr="00D8617B">
        <w:rPr>
          <w:rFonts w:ascii="Arial" w:hAnsi="Arial" w:cs="Arial"/>
          <w:color w:val="010000"/>
          <w:sz w:val="20"/>
        </w:rPr>
        <w:t>R</w:t>
      </w:r>
      <w:r w:rsidRPr="00D8617B">
        <w:rPr>
          <w:rFonts w:ascii="Arial" w:hAnsi="Arial" w:cs="Arial"/>
          <w:color w:val="010000"/>
          <w:sz w:val="20"/>
        </w:rPr>
        <w:t xml:space="preserve">epresentative of </w:t>
      </w:r>
      <w:proofErr w:type="spellStart"/>
      <w:r w:rsidRPr="00D8617B">
        <w:rPr>
          <w:rFonts w:ascii="Arial" w:hAnsi="Arial" w:cs="Arial"/>
          <w:color w:val="010000"/>
          <w:sz w:val="20"/>
        </w:rPr>
        <w:t>Mechannics</w:t>
      </w:r>
      <w:proofErr w:type="spellEnd"/>
      <w:r w:rsidRPr="00D8617B">
        <w:rPr>
          <w:rFonts w:ascii="Arial" w:hAnsi="Arial" w:cs="Arial"/>
          <w:color w:val="010000"/>
          <w:sz w:val="20"/>
        </w:rPr>
        <w:t xml:space="preserve"> Construction and Foodstuff JSC to implement the contents in Article 1 of this Resolution mentioned and implement procedures to sign agreements, contracts, and</w:t>
      </w:r>
      <w:r w:rsidR="003B5396" w:rsidRPr="00D8617B">
        <w:rPr>
          <w:rFonts w:ascii="Arial" w:hAnsi="Arial" w:cs="Arial"/>
          <w:color w:val="010000"/>
          <w:sz w:val="20"/>
        </w:rPr>
        <w:t xml:space="preserve"> </w:t>
      </w:r>
      <w:r w:rsidRPr="00D8617B">
        <w:rPr>
          <w:rFonts w:ascii="Arial" w:hAnsi="Arial" w:cs="Arial"/>
          <w:color w:val="010000"/>
          <w:sz w:val="20"/>
        </w:rPr>
        <w:t>relevant documents with the Bank in accordance with the provisions of law.</w:t>
      </w:r>
    </w:p>
    <w:p w14:paraId="00000013" w14:textId="078D192B" w:rsidR="00270211" w:rsidRPr="00D8617B" w:rsidRDefault="00D8617B" w:rsidP="004929B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Article 3: The </w:t>
      </w:r>
      <w:r w:rsidR="00CE37E0" w:rsidRPr="00D8617B">
        <w:rPr>
          <w:rFonts w:ascii="Arial" w:hAnsi="Arial" w:cs="Arial"/>
          <w:color w:val="010000"/>
          <w:sz w:val="20"/>
        </w:rPr>
        <w:t xml:space="preserve">Legal Representative </w:t>
      </w:r>
      <w:r w:rsidRPr="00D8617B">
        <w:rPr>
          <w:rFonts w:ascii="Arial" w:hAnsi="Arial" w:cs="Arial"/>
          <w:color w:val="010000"/>
          <w:sz w:val="20"/>
        </w:rPr>
        <w:t>of the Company is allowed to prepare a document to authorize another individual to sign one or more of the contents in Article 2 mentioned above. The authorized person may not authorize anyone.</w:t>
      </w:r>
      <w:r w:rsidR="00CE37E0" w:rsidRPr="00D8617B">
        <w:rPr>
          <w:rFonts w:ascii="Arial" w:hAnsi="Arial" w:cs="Arial"/>
          <w:color w:val="010000"/>
          <w:sz w:val="20"/>
        </w:rPr>
        <w:t xml:space="preserve"> </w:t>
      </w:r>
    </w:p>
    <w:p w14:paraId="00000014" w14:textId="08986491" w:rsidR="00270211" w:rsidRPr="00D8617B" w:rsidRDefault="00D8617B" w:rsidP="004929B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617B">
        <w:rPr>
          <w:rFonts w:ascii="Arial" w:hAnsi="Arial" w:cs="Arial"/>
          <w:color w:val="010000"/>
          <w:sz w:val="20"/>
        </w:rPr>
        <w:t xml:space="preserve">Article 4: This </w:t>
      </w:r>
      <w:r w:rsidR="00CE37E0" w:rsidRPr="00D8617B">
        <w:rPr>
          <w:rFonts w:ascii="Arial" w:hAnsi="Arial" w:cs="Arial"/>
          <w:color w:val="010000"/>
          <w:sz w:val="20"/>
        </w:rPr>
        <w:t>r</w:t>
      </w:r>
      <w:r w:rsidRPr="00D8617B">
        <w:rPr>
          <w:rFonts w:ascii="Arial" w:hAnsi="Arial" w:cs="Arial"/>
          <w:color w:val="010000"/>
          <w:sz w:val="20"/>
        </w:rPr>
        <w:t>esolution takes effect from October 16, 2024.</w:t>
      </w:r>
    </w:p>
    <w:sectPr w:rsidR="00270211" w:rsidRPr="00D8617B" w:rsidSect="003B539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F3D8C27A-0988-4DAD-BC6F-42E5625180C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8530FCD3-BF73-4BC9-A7C9-1816A88563DD}"/>
    <w:embedItalic r:id="rId3" w:fontKey="{64822936-C161-4BE2-9809-B3654A9E677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3954416-4F82-4B17-A06E-3A1D415C7D5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ECB373E-74A4-4657-842A-1191D286A4A5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2D"/>
    <w:multiLevelType w:val="multilevel"/>
    <w:tmpl w:val="1E5ACE4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2642F"/>
    <w:multiLevelType w:val="multilevel"/>
    <w:tmpl w:val="569CFF7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85225B"/>
    <w:multiLevelType w:val="multilevel"/>
    <w:tmpl w:val="57CED74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AB6AD3"/>
    <w:multiLevelType w:val="multilevel"/>
    <w:tmpl w:val="B7B4E3E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11"/>
    <w:rsid w:val="00270211"/>
    <w:rsid w:val="003B5396"/>
    <w:rsid w:val="00410E5B"/>
    <w:rsid w:val="004929BB"/>
    <w:rsid w:val="00581DAA"/>
    <w:rsid w:val="007D7409"/>
    <w:rsid w:val="00CE37E0"/>
    <w:rsid w:val="00D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071B3"/>
  <w15:docId w15:val="{BC0AE822-5E2D-41A7-BA6F-73752019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310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50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BktZFefLC39ITWbcm2hjtoqvg==">CgMxLjA4AHIhMUEwbFJ4amRXU0dMcHE2RzkyUWZHM1lqR2p1bGUteHBo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2024-10-10T04:06:00Z</dcterms:created>
  <dcterms:modified xsi:type="dcterms:W3CDTF">2024-10-11T07:37:00Z</dcterms:modified>
</cp:coreProperties>
</file>