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05C3" w:rsidRPr="003B104A" w:rsidRDefault="003B104A" w:rsidP="00315E0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3B104A">
        <w:rPr>
          <w:rFonts w:ascii="Arial" w:hAnsi="Arial" w:cs="Arial"/>
          <w:b/>
          <w:color w:val="010000"/>
          <w:sz w:val="20"/>
        </w:rPr>
        <w:t>SEB: Board Resolution</w:t>
      </w:r>
    </w:p>
    <w:p w14:paraId="00000002" w14:textId="0057065D" w:rsidR="000205C3" w:rsidRPr="003B104A" w:rsidRDefault="003B104A" w:rsidP="00315E0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B104A">
        <w:rPr>
          <w:rFonts w:ascii="Arial" w:hAnsi="Arial" w:cs="Arial"/>
          <w:color w:val="010000"/>
          <w:sz w:val="20"/>
        </w:rPr>
        <w:t xml:space="preserve">On October 4, 2024, Mien Trung Power Investment and Development JSC announced Resolution </w:t>
      </w:r>
      <w:r w:rsidR="004C148B" w:rsidRPr="003B104A">
        <w:rPr>
          <w:rFonts w:ascii="Arial" w:hAnsi="Arial" w:cs="Arial"/>
          <w:color w:val="010000"/>
          <w:sz w:val="20"/>
        </w:rPr>
        <w:t xml:space="preserve">No. </w:t>
      </w:r>
      <w:r w:rsidRPr="003B104A">
        <w:rPr>
          <w:rFonts w:ascii="Arial" w:hAnsi="Arial" w:cs="Arial"/>
          <w:color w:val="010000"/>
          <w:sz w:val="20"/>
        </w:rPr>
        <w:t>42 CT/HDQT on the dividend prepayment for round 3 in 2024 in cash, as follows:</w:t>
      </w:r>
    </w:p>
    <w:p w14:paraId="00000003" w14:textId="77777777" w:rsidR="000205C3" w:rsidRPr="003B104A" w:rsidRDefault="003B104A" w:rsidP="00315E0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B104A">
        <w:rPr>
          <w:rFonts w:ascii="Arial" w:hAnsi="Arial" w:cs="Arial"/>
          <w:color w:val="010000"/>
          <w:sz w:val="20"/>
        </w:rPr>
        <w:t>‎‎Article 1. Approve the dividend prepayment for round 3 in 2024 in cash for shareholders of Mien Trung Power Investment and Development JSC, specifically as follows:</w:t>
      </w:r>
    </w:p>
    <w:p w14:paraId="00000004" w14:textId="77777777" w:rsidR="000205C3" w:rsidRPr="003B104A" w:rsidRDefault="003B104A" w:rsidP="00315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B104A">
        <w:rPr>
          <w:rFonts w:ascii="Arial" w:hAnsi="Arial" w:cs="Arial"/>
          <w:color w:val="010000"/>
          <w:sz w:val="20"/>
        </w:rPr>
        <w:t xml:space="preserve">Dividend prepayment rate: 10%/share - shareholders receive VND1,000 for every share they own. </w:t>
      </w:r>
    </w:p>
    <w:p w14:paraId="00000005" w14:textId="77777777" w:rsidR="000205C3" w:rsidRPr="003B104A" w:rsidRDefault="003B104A" w:rsidP="00315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B104A">
        <w:rPr>
          <w:rFonts w:ascii="Arial" w:hAnsi="Arial" w:cs="Arial"/>
          <w:color w:val="010000"/>
          <w:sz w:val="20"/>
        </w:rPr>
        <w:t>Expected record date: October 21, 2024</w:t>
      </w:r>
    </w:p>
    <w:p w14:paraId="00000006" w14:textId="77777777" w:rsidR="000205C3" w:rsidRPr="003B104A" w:rsidRDefault="003B104A" w:rsidP="00315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B104A">
        <w:rPr>
          <w:rFonts w:ascii="Arial" w:hAnsi="Arial" w:cs="Arial"/>
          <w:color w:val="010000"/>
          <w:sz w:val="20"/>
        </w:rPr>
        <w:t>Expected implementation time: October 30, 2024.</w:t>
      </w:r>
    </w:p>
    <w:p w14:paraId="00000007" w14:textId="77777777" w:rsidR="000205C3" w:rsidRPr="003B104A" w:rsidRDefault="003B104A" w:rsidP="00315E0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B104A">
        <w:rPr>
          <w:rFonts w:ascii="Arial" w:hAnsi="Arial" w:cs="Arial"/>
          <w:color w:val="010000"/>
          <w:sz w:val="20"/>
        </w:rPr>
        <w:t>Article 2. Assign the General Manager of the Company to implement in accordance with current regulations of the State.</w:t>
      </w:r>
    </w:p>
    <w:p w14:paraId="00000008" w14:textId="77777777" w:rsidR="000205C3" w:rsidRPr="003B104A" w:rsidRDefault="003B104A" w:rsidP="00315E0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B104A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9" w14:textId="77777777" w:rsidR="000205C3" w:rsidRPr="003B104A" w:rsidRDefault="003B104A" w:rsidP="00315E0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B104A">
        <w:rPr>
          <w:rFonts w:ascii="Arial" w:hAnsi="Arial" w:cs="Arial"/>
          <w:color w:val="010000"/>
          <w:sz w:val="20"/>
        </w:rPr>
        <w:t>The Board of Management, the Chief Accountant, and relevant functional departments of the Company implement based on this Resolution.</w:t>
      </w:r>
      <w:bookmarkEnd w:id="0"/>
    </w:p>
    <w:sectPr w:rsidR="000205C3" w:rsidRPr="003B104A" w:rsidSect="004C148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B37"/>
    <w:multiLevelType w:val="multilevel"/>
    <w:tmpl w:val="A166661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91A1A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3"/>
    <w:rsid w:val="000205C3"/>
    <w:rsid w:val="00273890"/>
    <w:rsid w:val="00315E07"/>
    <w:rsid w:val="003B104A"/>
    <w:rsid w:val="004C148B"/>
    <w:rsid w:val="006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DCAB58-8361-4A3C-BC74-9C313EC9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91A1A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A1A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0" w:lineRule="auto"/>
    </w:pPr>
    <w:rPr>
      <w:rFonts w:ascii="Times New Roman" w:eastAsia="Times New Roman" w:hAnsi="Times New Roman" w:cs="Times New Roman"/>
      <w:i/>
      <w:iCs/>
      <w:color w:val="191A1A"/>
    </w:rPr>
  </w:style>
  <w:style w:type="paragraph" w:customStyle="1" w:styleId="Vnbnnidung20">
    <w:name w:val="Văn bản nội dung (2)"/>
    <w:basedOn w:val="Normal"/>
    <w:link w:val="Vnbnnidung2"/>
    <w:pPr>
      <w:jc w:val="right"/>
    </w:pPr>
    <w:rPr>
      <w:rFonts w:ascii="Times New Roman" w:eastAsia="Times New Roman" w:hAnsi="Times New Roman" w:cs="Times New Roman"/>
      <w:b/>
      <w:bCs/>
      <w:color w:val="191A1A"/>
      <w:sz w:val="28"/>
      <w:szCs w:val="28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UvrqCC6W2DqcFOhxH4ZFM3B8w==">CgMxLjA4AHIhMVZZYW5DWUdzaGlRRDdheC1PbGE2Qy11NzJLc2xFMlNj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2024-10-10T04:06:00Z</dcterms:created>
  <dcterms:modified xsi:type="dcterms:W3CDTF">2024-10-11T07:38:00Z</dcterms:modified>
</cp:coreProperties>
</file>