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936DF" w:rsidRPr="00157B9B" w:rsidRDefault="00157B9B" w:rsidP="008100E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157B9B">
        <w:rPr>
          <w:rFonts w:ascii="Arial" w:hAnsi="Arial" w:cs="Arial"/>
          <w:b/>
          <w:bCs/>
          <w:color w:val="010000"/>
          <w:sz w:val="20"/>
        </w:rPr>
        <w:t>E29:</w:t>
      </w:r>
      <w:r w:rsidRPr="00157B9B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7C0A0080" w:rsidR="00A936DF" w:rsidRPr="00157B9B" w:rsidRDefault="00157B9B" w:rsidP="008100E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57B9B">
        <w:rPr>
          <w:rFonts w:ascii="Arial" w:hAnsi="Arial" w:cs="Arial"/>
          <w:color w:val="010000"/>
          <w:sz w:val="20"/>
        </w:rPr>
        <w:t xml:space="preserve">On September 25, 2024, 29 Investment Construction And Engineering Joint Stock Company announced Resolution </w:t>
      </w:r>
      <w:r w:rsidR="000F58A8" w:rsidRPr="00157B9B">
        <w:rPr>
          <w:rFonts w:ascii="Arial" w:hAnsi="Arial" w:cs="Arial"/>
          <w:color w:val="010000"/>
          <w:sz w:val="20"/>
        </w:rPr>
        <w:t xml:space="preserve">No. </w:t>
      </w:r>
      <w:r w:rsidRPr="00157B9B">
        <w:rPr>
          <w:rFonts w:ascii="Arial" w:hAnsi="Arial" w:cs="Arial"/>
          <w:color w:val="010000"/>
          <w:sz w:val="20"/>
        </w:rPr>
        <w:t xml:space="preserve">39/NQ-HDQT on </w:t>
      </w:r>
      <w:r w:rsidR="000F58A8" w:rsidRPr="00157B9B">
        <w:rPr>
          <w:rFonts w:ascii="Arial" w:hAnsi="Arial" w:cs="Arial"/>
          <w:color w:val="010000"/>
          <w:sz w:val="20"/>
        </w:rPr>
        <w:t>the dividend payment</w:t>
      </w:r>
      <w:r w:rsidRPr="00157B9B">
        <w:rPr>
          <w:rFonts w:ascii="Arial" w:hAnsi="Arial" w:cs="Arial"/>
          <w:color w:val="010000"/>
          <w:sz w:val="20"/>
        </w:rPr>
        <w:t xml:space="preserve"> 2023, as follows: </w:t>
      </w:r>
    </w:p>
    <w:p w14:paraId="00000003" w14:textId="1F5271B0" w:rsidR="00A936DF" w:rsidRPr="00157B9B" w:rsidRDefault="00157B9B" w:rsidP="008100E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57B9B">
        <w:rPr>
          <w:rFonts w:ascii="Arial" w:hAnsi="Arial" w:cs="Arial"/>
          <w:color w:val="010000"/>
          <w:sz w:val="20"/>
        </w:rPr>
        <w:t xml:space="preserve">‎‎Article 1. Dividend payment </w:t>
      </w:r>
      <w:r w:rsidR="008100EB">
        <w:rPr>
          <w:rFonts w:ascii="Arial" w:hAnsi="Arial" w:cs="Arial"/>
          <w:color w:val="010000"/>
          <w:sz w:val="20"/>
        </w:rPr>
        <w:t xml:space="preserve">for </w:t>
      </w:r>
      <w:bookmarkStart w:id="0" w:name="_GoBack"/>
      <w:bookmarkEnd w:id="0"/>
      <w:r w:rsidRPr="00157B9B">
        <w:rPr>
          <w:rFonts w:ascii="Arial" w:hAnsi="Arial" w:cs="Arial"/>
          <w:color w:val="010000"/>
          <w:sz w:val="20"/>
        </w:rPr>
        <w:t>2023 is as follows:</w:t>
      </w:r>
    </w:p>
    <w:p w14:paraId="00000004" w14:textId="006CF940" w:rsidR="00A936DF" w:rsidRPr="00157B9B" w:rsidRDefault="00157B9B" w:rsidP="008100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0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57B9B">
        <w:rPr>
          <w:rFonts w:ascii="Arial" w:hAnsi="Arial" w:cs="Arial"/>
          <w:color w:val="010000"/>
          <w:sz w:val="20"/>
        </w:rPr>
        <w:t>Share type: Common share</w:t>
      </w:r>
      <w:r w:rsidR="000F58A8" w:rsidRPr="00157B9B">
        <w:rPr>
          <w:rFonts w:ascii="Arial" w:hAnsi="Arial" w:cs="Arial"/>
          <w:color w:val="010000"/>
          <w:sz w:val="20"/>
        </w:rPr>
        <w:t>s</w:t>
      </w:r>
    </w:p>
    <w:p w14:paraId="00000005" w14:textId="77777777" w:rsidR="00A936DF" w:rsidRPr="00157B9B" w:rsidRDefault="00157B9B" w:rsidP="008100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1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57B9B">
        <w:rPr>
          <w:rFonts w:ascii="Arial" w:hAnsi="Arial" w:cs="Arial"/>
          <w:color w:val="010000"/>
          <w:sz w:val="20"/>
        </w:rPr>
        <w:t>Par value: VND10,000</w:t>
      </w:r>
    </w:p>
    <w:p w14:paraId="00000006" w14:textId="77777777" w:rsidR="00A936DF" w:rsidRPr="00157B9B" w:rsidRDefault="00157B9B" w:rsidP="008100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1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57B9B">
        <w:rPr>
          <w:rFonts w:ascii="Arial" w:hAnsi="Arial" w:cs="Arial"/>
          <w:color w:val="010000"/>
          <w:sz w:val="20"/>
        </w:rPr>
        <w:t>Dividend payment rate: 5%/share (shareholders receive VND500 for every share they own).</w:t>
      </w:r>
    </w:p>
    <w:p w14:paraId="00000007" w14:textId="77777777" w:rsidR="00A936DF" w:rsidRPr="00157B9B" w:rsidRDefault="00157B9B" w:rsidP="008100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1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57B9B">
        <w:rPr>
          <w:rFonts w:ascii="Arial" w:hAnsi="Arial" w:cs="Arial"/>
          <w:color w:val="010000"/>
          <w:sz w:val="20"/>
        </w:rPr>
        <w:t>Record date: October 09, 2024.</w:t>
      </w:r>
    </w:p>
    <w:p w14:paraId="00000008" w14:textId="5297AA8A" w:rsidR="00A936DF" w:rsidRPr="00157B9B" w:rsidRDefault="000F58A8" w:rsidP="008100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1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57B9B">
        <w:rPr>
          <w:rFonts w:ascii="Arial" w:hAnsi="Arial" w:cs="Arial"/>
          <w:color w:val="010000"/>
          <w:sz w:val="20"/>
        </w:rPr>
        <w:t>Dividend payment date: Starting from October 18, 2024.</w:t>
      </w:r>
    </w:p>
    <w:p w14:paraId="00000009" w14:textId="77777777" w:rsidR="00A936DF" w:rsidRPr="00157B9B" w:rsidRDefault="00157B9B" w:rsidP="008100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57B9B">
        <w:rPr>
          <w:rFonts w:ascii="Arial" w:hAnsi="Arial" w:cs="Arial"/>
          <w:color w:val="010000"/>
          <w:sz w:val="20"/>
        </w:rPr>
        <w:t>Dividend payment location:</w:t>
      </w:r>
    </w:p>
    <w:p w14:paraId="0000000A" w14:textId="77777777" w:rsidR="00A936DF" w:rsidRPr="00157B9B" w:rsidRDefault="00157B9B" w:rsidP="008100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57B9B">
        <w:rPr>
          <w:rFonts w:ascii="Arial" w:hAnsi="Arial" w:cs="Arial"/>
          <w:color w:val="010000"/>
          <w:sz w:val="20"/>
        </w:rPr>
        <w:t>For deposited securities: Shareholders implement procedures to receive dividends at the Depository Members where depository accounts were opened.</w:t>
      </w:r>
    </w:p>
    <w:p w14:paraId="0000000B" w14:textId="0533CC49" w:rsidR="00A936DF" w:rsidRPr="00157B9B" w:rsidRDefault="00157B9B" w:rsidP="008100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57B9B">
        <w:rPr>
          <w:rFonts w:ascii="Arial" w:hAnsi="Arial" w:cs="Arial"/>
          <w:color w:val="010000"/>
          <w:sz w:val="20"/>
        </w:rPr>
        <w:t xml:space="preserve">For </w:t>
      </w:r>
      <w:proofErr w:type="spellStart"/>
      <w:r w:rsidRPr="00157B9B">
        <w:rPr>
          <w:rFonts w:ascii="Arial" w:hAnsi="Arial" w:cs="Arial"/>
          <w:color w:val="010000"/>
          <w:sz w:val="20"/>
        </w:rPr>
        <w:t>undeposited</w:t>
      </w:r>
      <w:proofErr w:type="spellEnd"/>
      <w:r w:rsidRPr="00157B9B">
        <w:rPr>
          <w:rFonts w:ascii="Arial" w:hAnsi="Arial" w:cs="Arial"/>
          <w:color w:val="010000"/>
          <w:sz w:val="20"/>
        </w:rPr>
        <w:t xml:space="preserve"> securities: </w:t>
      </w:r>
      <w:r w:rsidR="000F58A8" w:rsidRPr="00157B9B">
        <w:rPr>
          <w:rFonts w:ascii="Arial" w:hAnsi="Arial" w:cs="Arial"/>
          <w:color w:val="010000"/>
          <w:sz w:val="20"/>
        </w:rPr>
        <w:t xml:space="preserve">Shareholders </w:t>
      </w:r>
      <w:r w:rsidRPr="00157B9B">
        <w:rPr>
          <w:rFonts w:ascii="Arial" w:hAnsi="Arial" w:cs="Arial"/>
          <w:color w:val="010000"/>
          <w:sz w:val="20"/>
        </w:rPr>
        <w:t>implement procedures to receive dividends at the Finance - Accounting Department/ 29 Investment Construction And Engineering Joint Stock Company; Address: 3rd floor, Company 29 Building,</w:t>
      </w:r>
      <w:r w:rsidR="000F58A8" w:rsidRPr="00157B9B">
        <w:rPr>
          <w:rFonts w:ascii="Arial" w:hAnsi="Arial" w:cs="Arial"/>
          <w:color w:val="010000"/>
          <w:sz w:val="20"/>
        </w:rPr>
        <w:t xml:space="preserve"> No.</w:t>
      </w:r>
      <w:r w:rsidRPr="00157B9B">
        <w:rPr>
          <w:rFonts w:ascii="Arial" w:hAnsi="Arial" w:cs="Arial"/>
          <w:color w:val="010000"/>
          <w:sz w:val="20"/>
        </w:rPr>
        <w:t xml:space="preserve"> 73 Nguyen </w:t>
      </w:r>
      <w:proofErr w:type="spellStart"/>
      <w:r w:rsidRPr="00157B9B">
        <w:rPr>
          <w:rFonts w:ascii="Arial" w:hAnsi="Arial" w:cs="Arial"/>
          <w:color w:val="010000"/>
          <w:sz w:val="20"/>
        </w:rPr>
        <w:t>Trai</w:t>
      </w:r>
      <w:proofErr w:type="spellEnd"/>
      <w:r w:rsidRPr="00157B9B">
        <w:rPr>
          <w:rFonts w:ascii="Arial" w:hAnsi="Arial" w:cs="Arial"/>
          <w:color w:val="010000"/>
          <w:sz w:val="20"/>
        </w:rPr>
        <w:t xml:space="preserve">, </w:t>
      </w:r>
      <w:proofErr w:type="spellStart"/>
      <w:r w:rsidRPr="00157B9B">
        <w:rPr>
          <w:rFonts w:ascii="Arial" w:hAnsi="Arial" w:cs="Arial"/>
          <w:color w:val="010000"/>
          <w:sz w:val="20"/>
        </w:rPr>
        <w:t>Khuong</w:t>
      </w:r>
      <w:proofErr w:type="spellEnd"/>
      <w:r w:rsidRPr="00157B9B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157B9B">
        <w:rPr>
          <w:rFonts w:ascii="Arial" w:hAnsi="Arial" w:cs="Arial"/>
          <w:color w:val="010000"/>
          <w:sz w:val="20"/>
        </w:rPr>
        <w:t>Trung</w:t>
      </w:r>
      <w:proofErr w:type="spellEnd"/>
      <w:r w:rsidRPr="00157B9B">
        <w:rPr>
          <w:rFonts w:ascii="Arial" w:hAnsi="Arial" w:cs="Arial"/>
          <w:color w:val="010000"/>
          <w:sz w:val="20"/>
        </w:rPr>
        <w:t xml:space="preserve"> Ward, Thanh </w:t>
      </w:r>
      <w:proofErr w:type="spellStart"/>
      <w:r w:rsidRPr="00157B9B">
        <w:rPr>
          <w:rFonts w:ascii="Arial" w:hAnsi="Arial" w:cs="Arial"/>
          <w:color w:val="010000"/>
          <w:sz w:val="20"/>
        </w:rPr>
        <w:t>Xuan</w:t>
      </w:r>
      <w:proofErr w:type="spellEnd"/>
      <w:r w:rsidRPr="00157B9B">
        <w:rPr>
          <w:rFonts w:ascii="Arial" w:hAnsi="Arial" w:cs="Arial"/>
          <w:color w:val="010000"/>
          <w:sz w:val="20"/>
        </w:rPr>
        <w:t xml:space="preserve"> District, Hanoi (on working days of the week) starting from October 18, 2024 and present </w:t>
      </w:r>
      <w:r w:rsidR="000F58A8" w:rsidRPr="00157B9B">
        <w:rPr>
          <w:rFonts w:ascii="Arial" w:hAnsi="Arial" w:cs="Arial"/>
          <w:color w:val="010000"/>
          <w:sz w:val="20"/>
        </w:rPr>
        <w:t xml:space="preserve">their </w:t>
      </w:r>
      <w:r w:rsidRPr="00157B9B">
        <w:rPr>
          <w:rFonts w:ascii="Arial" w:hAnsi="Arial" w:cs="Arial"/>
          <w:color w:val="010000"/>
          <w:sz w:val="20"/>
        </w:rPr>
        <w:t>Citizen ID Card. Dividend payment form: In cash or by bank transfer;</w:t>
      </w:r>
      <w:r w:rsidR="000F58A8" w:rsidRPr="00157B9B">
        <w:rPr>
          <w:rFonts w:ascii="Arial" w:hAnsi="Arial" w:cs="Arial"/>
          <w:color w:val="010000"/>
          <w:sz w:val="20"/>
        </w:rPr>
        <w:t xml:space="preserve"> </w:t>
      </w:r>
    </w:p>
    <w:p w14:paraId="0000000C" w14:textId="77777777" w:rsidR="00A936DF" w:rsidRPr="00157B9B" w:rsidRDefault="00157B9B" w:rsidP="008100E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57B9B">
        <w:rPr>
          <w:rFonts w:ascii="Arial" w:hAnsi="Arial" w:cs="Arial"/>
          <w:color w:val="010000"/>
          <w:sz w:val="20"/>
        </w:rPr>
        <w:t>‎‎Article 2. Assign the Manager of the Company and relevant agencies to be responsible for implementing this Resolution.</w:t>
      </w:r>
    </w:p>
    <w:p w14:paraId="0000000D" w14:textId="77777777" w:rsidR="00A936DF" w:rsidRPr="00157B9B" w:rsidRDefault="00157B9B" w:rsidP="008100E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57B9B">
        <w:rPr>
          <w:rFonts w:ascii="Arial" w:hAnsi="Arial" w:cs="Arial"/>
          <w:color w:val="010000"/>
          <w:sz w:val="20"/>
        </w:rPr>
        <w:t>‎‎Article 3. This Resolution was approved by the Board of Directors on September 25, 2024</w:t>
      </w:r>
      <w:proofErr w:type="gramStart"/>
      <w:r w:rsidRPr="00157B9B">
        <w:rPr>
          <w:rFonts w:ascii="Arial" w:hAnsi="Arial" w:cs="Arial"/>
          <w:color w:val="010000"/>
          <w:sz w:val="20"/>
        </w:rPr>
        <w:t>./</w:t>
      </w:r>
      <w:proofErr w:type="gramEnd"/>
      <w:r w:rsidRPr="00157B9B">
        <w:rPr>
          <w:rFonts w:ascii="Arial" w:hAnsi="Arial" w:cs="Arial"/>
          <w:color w:val="010000"/>
          <w:sz w:val="20"/>
        </w:rPr>
        <w:t xml:space="preserve">. </w:t>
      </w:r>
    </w:p>
    <w:sectPr w:rsidR="00A936DF" w:rsidRPr="00157B9B" w:rsidSect="000F58A8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95020"/>
    <w:multiLevelType w:val="multilevel"/>
    <w:tmpl w:val="22FED3C0"/>
    <w:lvl w:ilvl="0">
      <w:start w:val="1"/>
      <w:numFmt w:val="bullet"/>
      <w:lvlText w:val="+"/>
      <w:lvlJc w:val="left"/>
      <w:pPr>
        <w:ind w:left="720" w:hanging="360"/>
      </w:pPr>
      <w:rPr>
        <w:b w:val="0"/>
        <w:i w:val="0"/>
        <w:sz w:val="20"/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b w:val="0"/>
        <w:i w:val="0"/>
        <w:sz w:val="20"/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b w:val="0"/>
        <w:i w:val="0"/>
        <w:sz w:val="20"/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>
    <w:nsid w:val="653F7E40"/>
    <w:multiLevelType w:val="multilevel"/>
    <w:tmpl w:val="5ADC16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DF"/>
    <w:rsid w:val="000F58A8"/>
    <w:rsid w:val="00157B9B"/>
    <w:rsid w:val="008100EB"/>
    <w:rsid w:val="00A07B8F"/>
    <w:rsid w:val="00A936DF"/>
    <w:rsid w:val="00D8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AEBB0"/>
  <w15:docId w15:val="{D10747E1-78F3-447F-B0F8-E897629A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DD3D5B"/>
      <w:sz w:val="24"/>
      <w:szCs w:val="24"/>
      <w:u w:val="none"/>
      <w:shd w:val="clear" w:color="auto" w:fill="auto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Arial" w:eastAsia="Arial" w:hAnsi="Arial" w:cs="Arial"/>
      <w:sz w:val="18"/>
      <w:szCs w:val="18"/>
    </w:rPr>
  </w:style>
  <w:style w:type="paragraph" w:customStyle="1" w:styleId="Bodytext20">
    <w:name w:val="Body text (2)"/>
    <w:basedOn w:val="Normal"/>
    <w:link w:val="Bodytext2"/>
    <w:pPr>
      <w:spacing w:line="199" w:lineRule="auto"/>
    </w:pPr>
    <w:rPr>
      <w:rFonts w:ascii="Arial" w:eastAsia="Arial" w:hAnsi="Arial" w:cs="Arial"/>
      <w:sz w:val="8"/>
      <w:szCs w:val="8"/>
    </w:rPr>
  </w:style>
  <w:style w:type="paragraph" w:styleId="BodyText">
    <w:name w:val="Body Text"/>
    <w:basedOn w:val="Normal"/>
    <w:link w:val="BodyTextChar"/>
    <w:qFormat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1">
    <w:name w:val="Heading #1"/>
    <w:basedOn w:val="Normal"/>
    <w:link w:val="Heading10"/>
    <w:pPr>
      <w:spacing w:line="281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al"/>
    <w:link w:val="Bodytext5"/>
    <w:pPr>
      <w:jc w:val="right"/>
    </w:pPr>
    <w:rPr>
      <w:rFonts w:ascii="Arial" w:eastAsia="Arial" w:hAnsi="Arial" w:cs="Arial"/>
      <w:color w:val="DD3D5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VyN36unAbK2+Vr83P8SaoHelrQ==">CgMxLjA4AHIhMUo3Ukh1TXpQNURCYUlsbU9LMldoNjRBbTlEak1fR2Fi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1101</Characters>
  <Application>Microsoft Office Word</Application>
  <DocSecurity>0</DocSecurity>
  <Lines>20</Lines>
  <Paragraphs>15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6</cp:revision>
  <dcterms:created xsi:type="dcterms:W3CDTF">2024-10-01T03:33:00Z</dcterms:created>
  <dcterms:modified xsi:type="dcterms:W3CDTF">2024-10-02T02:11:00Z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2c73c2e9cdda164a0ab8c0cc7500b9781e270c747f032f22a8e251a81c3853e6</vt:lpwstr>
  </property>
</Properties>
</file>