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8132C" w:rsidRPr="00F6270E" w:rsidRDefault="00F6270E" w:rsidP="001E12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6270E">
        <w:rPr>
          <w:rFonts w:ascii="Arial" w:hAnsi="Arial" w:cs="Arial"/>
          <w:b/>
          <w:color w:val="010000"/>
          <w:sz w:val="20"/>
        </w:rPr>
        <w:t>TGG: Board Resolution</w:t>
      </w:r>
      <w:bookmarkStart w:id="0" w:name="_GoBack"/>
      <w:bookmarkEnd w:id="0"/>
    </w:p>
    <w:p w14:paraId="00000002" w14:textId="7CFE35D9" w:rsidR="00E8132C" w:rsidRPr="00F6270E" w:rsidRDefault="00F6270E" w:rsidP="001E12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On September 27, 2024,</w:t>
      </w:r>
      <w:r w:rsidR="00EF0E44" w:rsidRPr="00F6270E">
        <w:rPr>
          <w:rFonts w:ascii="Arial" w:hAnsi="Arial" w:cs="Arial"/>
          <w:color w:val="010000"/>
          <w:sz w:val="20"/>
        </w:rPr>
        <w:t xml:space="preserve"> </w:t>
      </w:r>
      <w:r w:rsidRPr="00F6270E">
        <w:rPr>
          <w:rFonts w:ascii="Arial" w:hAnsi="Arial" w:cs="Arial"/>
          <w:color w:val="010000"/>
          <w:sz w:val="20"/>
        </w:rPr>
        <w:t xml:space="preserve">The Golden Group Joint Stock Company announced Resolution </w:t>
      </w:r>
      <w:r w:rsidR="00EF0E44" w:rsidRPr="00F6270E">
        <w:rPr>
          <w:rFonts w:ascii="Arial" w:hAnsi="Arial" w:cs="Arial"/>
          <w:color w:val="010000"/>
          <w:sz w:val="20"/>
        </w:rPr>
        <w:t xml:space="preserve">No. </w:t>
      </w:r>
      <w:r w:rsidRPr="00F6270E">
        <w:rPr>
          <w:rFonts w:ascii="Arial" w:hAnsi="Arial" w:cs="Arial"/>
          <w:color w:val="010000"/>
          <w:sz w:val="20"/>
        </w:rPr>
        <w:t>13/2024/TGG/HDQT-NQ as follows:</w:t>
      </w:r>
    </w:p>
    <w:p w14:paraId="00000003" w14:textId="547F7AA2" w:rsidR="00E8132C" w:rsidRPr="00F6270E" w:rsidRDefault="00F6270E" w:rsidP="001E12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 xml:space="preserve">Article 1: Approve on amending Article 1 of Resolution </w:t>
      </w:r>
      <w:r w:rsidR="00EF0E44" w:rsidRPr="00F6270E">
        <w:rPr>
          <w:rFonts w:ascii="Arial" w:hAnsi="Arial" w:cs="Arial"/>
          <w:color w:val="010000"/>
          <w:sz w:val="20"/>
        </w:rPr>
        <w:t xml:space="preserve">No. </w:t>
      </w:r>
      <w:r w:rsidRPr="00F6270E">
        <w:rPr>
          <w:rFonts w:ascii="Arial" w:hAnsi="Arial" w:cs="Arial"/>
          <w:color w:val="010000"/>
          <w:sz w:val="20"/>
        </w:rPr>
        <w:t>10/2024/TGG/HDQT-NQ dated July 17, 2024, specifically as follows:</w:t>
      </w:r>
    </w:p>
    <w:p w14:paraId="00000004" w14:textId="54413A16" w:rsidR="00E8132C" w:rsidRPr="00F6270E" w:rsidRDefault="002931D7" w:rsidP="001E12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Contents before the amendment:</w:t>
      </w:r>
    </w:p>
    <w:p w14:paraId="00000005" w14:textId="77777777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Divestment in the Company: HB Pharma Joint Stock Company</w:t>
      </w:r>
    </w:p>
    <w:p w14:paraId="00000006" w14:textId="77777777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Charter capital: VND10,000,000,000</w:t>
      </w:r>
    </w:p>
    <w:p w14:paraId="00000007" w14:textId="10693D16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 xml:space="preserve">In which, The Golden Group Joint Stock Company accounts for 75.5% of </w:t>
      </w:r>
      <w:r w:rsidR="002931D7" w:rsidRPr="00F6270E">
        <w:rPr>
          <w:rFonts w:ascii="Arial" w:hAnsi="Arial" w:cs="Arial"/>
          <w:color w:val="010000"/>
          <w:sz w:val="20"/>
        </w:rPr>
        <w:t xml:space="preserve">the </w:t>
      </w:r>
      <w:r w:rsidRPr="00F6270E">
        <w:rPr>
          <w:rFonts w:ascii="Arial" w:hAnsi="Arial" w:cs="Arial"/>
          <w:color w:val="010000"/>
          <w:sz w:val="20"/>
        </w:rPr>
        <w:t>charter capital, equivalent to VND7,550,000,000;</w:t>
      </w:r>
    </w:p>
    <w:p w14:paraId="00000008" w14:textId="029C2E85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 xml:space="preserve">Expected capital divestment: 51% of </w:t>
      </w:r>
      <w:r w:rsidR="002931D7" w:rsidRPr="00F6270E">
        <w:rPr>
          <w:rFonts w:ascii="Arial" w:hAnsi="Arial" w:cs="Arial"/>
          <w:color w:val="010000"/>
          <w:sz w:val="20"/>
        </w:rPr>
        <w:t xml:space="preserve">the </w:t>
      </w:r>
      <w:r w:rsidRPr="00F6270E">
        <w:rPr>
          <w:rFonts w:ascii="Arial" w:hAnsi="Arial" w:cs="Arial"/>
          <w:color w:val="010000"/>
          <w:sz w:val="20"/>
        </w:rPr>
        <w:t>charter capital, equivalent to VND5,100,000,000</w:t>
      </w:r>
    </w:p>
    <w:p w14:paraId="00000009" w14:textId="1A45752C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 xml:space="preserve">Expected remaining capital after the divestment: 24.5% of </w:t>
      </w:r>
      <w:r w:rsidR="002931D7" w:rsidRPr="00F6270E">
        <w:rPr>
          <w:rFonts w:ascii="Arial" w:hAnsi="Arial" w:cs="Arial"/>
          <w:color w:val="010000"/>
          <w:sz w:val="20"/>
        </w:rPr>
        <w:t xml:space="preserve">the </w:t>
      </w:r>
      <w:r w:rsidRPr="00F6270E">
        <w:rPr>
          <w:rFonts w:ascii="Arial" w:hAnsi="Arial" w:cs="Arial"/>
          <w:color w:val="010000"/>
          <w:sz w:val="20"/>
        </w:rPr>
        <w:t xml:space="preserve">charter capital, equivalent to VND5,100,000,000 </w:t>
      </w:r>
    </w:p>
    <w:p w14:paraId="0000000A" w14:textId="77777777" w:rsidR="00E8132C" w:rsidRPr="00F6270E" w:rsidRDefault="00F6270E" w:rsidP="001E12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Amendment contents:</w:t>
      </w:r>
    </w:p>
    <w:p w14:paraId="0000000B" w14:textId="77777777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Divestment in the Company: HB Pharma Joint Stock Company</w:t>
      </w:r>
    </w:p>
    <w:p w14:paraId="0000000C" w14:textId="77777777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Charter capital: VND10,000,000,000</w:t>
      </w:r>
    </w:p>
    <w:p w14:paraId="0000000D" w14:textId="32C64D79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 xml:space="preserve">In which The Golden Group Joint Stock Company accounts for 75.5% of </w:t>
      </w:r>
      <w:r w:rsidR="002931D7" w:rsidRPr="00F6270E">
        <w:rPr>
          <w:rFonts w:ascii="Arial" w:hAnsi="Arial" w:cs="Arial"/>
          <w:color w:val="010000"/>
          <w:sz w:val="20"/>
        </w:rPr>
        <w:t xml:space="preserve">the </w:t>
      </w:r>
      <w:r w:rsidRPr="00F6270E">
        <w:rPr>
          <w:rFonts w:ascii="Arial" w:hAnsi="Arial" w:cs="Arial"/>
          <w:color w:val="010000"/>
          <w:sz w:val="20"/>
        </w:rPr>
        <w:t>charter capital</w:t>
      </w:r>
      <w:r w:rsidR="002931D7" w:rsidRPr="00F6270E">
        <w:rPr>
          <w:rFonts w:ascii="Arial" w:hAnsi="Arial" w:cs="Arial"/>
          <w:color w:val="010000"/>
          <w:sz w:val="20"/>
        </w:rPr>
        <w:t>,</w:t>
      </w:r>
      <w:r w:rsidRPr="00F6270E">
        <w:rPr>
          <w:rFonts w:ascii="Arial" w:hAnsi="Arial" w:cs="Arial"/>
          <w:color w:val="010000"/>
          <w:sz w:val="20"/>
        </w:rPr>
        <w:t xml:space="preserve"> equivalent to VND7,550,000,000;</w:t>
      </w:r>
    </w:p>
    <w:p w14:paraId="0000000E" w14:textId="5A236E93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 xml:space="preserve">Expected capital divestment: 75.5% of </w:t>
      </w:r>
      <w:r w:rsidR="002931D7" w:rsidRPr="00F6270E">
        <w:rPr>
          <w:rFonts w:ascii="Arial" w:hAnsi="Arial" w:cs="Arial"/>
          <w:color w:val="010000"/>
          <w:sz w:val="20"/>
        </w:rPr>
        <w:t xml:space="preserve">the </w:t>
      </w:r>
      <w:r w:rsidRPr="00F6270E">
        <w:rPr>
          <w:rFonts w:ascii="Arial" w:hAnsi="Arial" w:cs="Arial"/>
          <w:color w:val="010000"/>
          <w:sz w:val="20"/>
        </w:rPr>
        <w:t xml:space="preserve">charter capital, equivalent to </w:t>
      </w:r>
      <w:r w:rsidR="002931D7" w:rsidRPr="00F6270E">
        <w:rPr>
          <w:rFonts w:ascii="Arial" w:hAnsi="Arial" w:cs="Arial"/>
          <w:color w:val="010000"/>
          <w:sz w:val="20"/>
        </w:rPr>
        <w:t>VND7,550,000,000</w:t>
      </w:r>
    </w:p>
    <w:p w14:paraId="0000000F" w14:textId="10AC1B26" w:rsidR="00E8132C" w:rsidRPr="00F6270E" w:rsidRDefault="00F6270E" w:rsidP="001E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 xml:space="preserve">Expected remaining capital after the divestment: 0% of </w:t>
      </w:r>
      <w:r w:rsidR="002931D7" w:rsidRPr="00F6270E">
        <w:rPr>
          <w:rFonts w:ascii="Arial" w:hAnsi="Arial" w:cs="Arial"/>
          <w:color w:val="010000"/>
          <w:sz w:val="20"/>
        </w:rPr>
        <w:t xml:space="preserve">the </w:t>
      </w:r>
      <w:r w:rsidRPr="00F6270E">
        <w:rPr>
          <w:rFonts w:ascii="Arial" w:hAnsi="Arial" w:cs="Arial"/>
          <w:color w:val="010000"/>
          <w:sz w:val="20"/>
        </w:rPr>
        <w:t>charter capital, equivalent to VND0</w:t>
      </w:r>
    </w:p>
    <w:p w14:paraId="00000010" w14:textId="78782058" w:rsidR="00E8132C" w:rsidRPr="00F6270E" w:rsidRDefault="00F6270E" w:rsidP="001E12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 xml:space="preserve">Other contents in Resolution </w:t>
      </w:r>
      <w:r w:rsidR="00EF0E44" w:rsidRPr="00F6270E">
        <w:rPr>
          <w:rFonts w:ascii="Arial" w:hAnsi="Arial" w:cs="Arial"/>
          <w:color w:val="010000"/>
          <w:sz w:val="20"/>
        </w:rPr>
        <w:t xml:space="preserve">No. </w:t>
      </w:r>
      <w:r w:rsidRPr="00F6270E">
        <w:rPr>
          <w:rFonts w:ascii="Arial" w:hAnsi="Arial" w:cs="Arial"/>
          <w:color w:val="010000"/>
          <w:sz w:val="20"/>
        </w:rPr>
        <w:t>10/2024/TGG/HDQT-NQ dated July 17, 2024 remain unchanged;</w:t>
      </w:r>
    </w:p>
    <w:p w14:paraId="00000011" w14:textId="77777777" w:rsidR="00E8132C" w:rsidRPr="00F6270E" w:rsidRDefault="00F6270E" w:rsidP="001E12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Article 2: Terms of enforcement</w:t>
      </w:r>
    </w:p>
    <w:p w14:paraId="00000012" w14:textId="77777777" w:rsidR="00E8132C" w:rsidRPr="00F6270E" w:rsidRDefault="00F6270E" w:rsidP="001E1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This Resolution takes effect from the date of its signing;</w:t>
      </w:r>
    </w:p>
    <w:p w14:paraId="00000013" w14:textId="77777777" w:rsidR="00E8132C" w:rsidRPr="00F6270E" w:rsidRDefault="00F6270E" w:rsidP="001E1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70E">
        <w:rPr>
          <w:rFonts w:ascii="Arial" w:hAnsi="Arial" w:cs="Arial"/>
          <w:color w:val="010000"/>
          <w:sz w:val="20"/>
        </w:rPr>
        <w:t>Members of the Board of Directors, the Supervisory Board, the Board of Management, and relevant units are responsible for implementing this Resolution.</w:t>
      </w:r>
    </w:p>
    <w:p w14:paraId="619484ED" w14:textId="77777777" w:rsidR="001E12AA" w:rsidRPr="00F6270E" w:rsidRDefault="001E1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1E12AA" w:rsidRPr="00F6270E" w:rsidSect="00EF0E44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5AE2A734-4DA6-4CB4-9BFC-58040293567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E6920C8B-194E-4B95-A965-14FC45DF5583}"/>
    <w:embedItalic r:id="rId3" w:fontKey="{28D58318-6219-4CA0-8E5A-B2BBD976779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6DC4FB2-3B85-4014-8D1B-45D543A0B889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5DA05861-A53A-4B42-BA61-5354856BA9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652"/>
    <w:multiLevelType w:val="multilevel"/>
    <w:tmpl w:val="6F6E6F1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B16991"/>
    <w:multiLevelType w:val="multilevel"/>
    <w:tmpl w:val="D19A88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2C"/>
    <w:rsid w:val="001E12AA"/>
    <w:rsid w:val="002931D7"/>
    <w:rsid w:val="006F4CAA"/>
    <w:rsid w:val="00743819"/>
    <w:rsid w:val="00CC075C"/>
    <w:rsid w:val="00E8132C"/>
    <w:rsid w:val="00EF0E44"/>
    <w:rsid w:val="00F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DD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styleId="NormalWeb">
    <w:name w:val="Normal (Web)"/>
    <w:basedOn w:val="Normal"/>
    <w:uiPriority w:val="99"/>
    <w:unhideWhenUsed/>
    <w:rsid w:val="00217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styleId="NormalWeb">
    <w:name w:val="Normal (Web)"/>
    <w:basedOn w:val="Normal"/>
    <w:uiPriority w:val="99"/>
    <w:unhideWhenUsed/>
    <w:rsid w:val="00217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LWjBKPM6F2z+0rFiffpO+78EA==">CgMxLjA4AHIhMTR5eWc3cXJpN2xEUUh4N1hjTEZLRDRlb2Y3TF84dkZQ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7</cp:revision>
  <dcterms:created xsi:type="dcterms:W3CDTF">2024-10-01T03:57:00Z</dcterms:created>
  <dcterms:modified xsi:type="dcterms:W3CDTF">2024-10-02T07:01:00Z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54a4beb1ecc7999d9ff1879b333254d6bc922324857f91d0a47762fe884d877b</vt:lpwstr>
  </property>
</Properties>
</file>