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17C39" w:rsidRPr="00DD5AC2" w:rsidRDefault="00DD5AC2" w:rsidP="00D74F38">
      <w:pPr>
        <w:pBdr>
          <w:top w:val="nil"/>
          <w:left w:val="nil"/>
          <w:bottom w:val="nil"/>
          <w:right w:val="nil"/>
          <w:between w:val="nil"/>
        </w:pBdr>
        <w:tabs>
          <w:tab w:val="left" w:pos="432"/>
          <w:tab w:val="left" w:pos="2135"/>
          <w:tab w:val="left" w:pos="5713"/>
          <w:tab w:val="left" w:pos="6658"/>
        </w:tabs>
        <w:spacing w:after="120" w:line="360" w:lineRule="auto"/>
        <w:jc w:val="both"/>
        <w:rPr>
          <w:rFonts w:ascii="Arial" w:eastAsia="Arial" w:hAnsi="Arial" w:cs="Arial"/>
          <w:b/>
          <w:color w:val="010000"/>
          <w:sz w:val="20"/>
          <w:szCs w:val="20"/>
        </w:rPr>
      </w:pPr>
      <w:bookmarkStart w:id="0" w:name="_GoBack"/>
      <w:r w:rsidRPr="00DD5AC2">
        <w:rPr>
          <w:rFonts w:ascii="Arial" w:hAnsi="Arial" w:cs="Arial"/>
          <w:b/>
          <w:color w:val="010000"/>
          <w:sz w:val="20"/>
        </w:rPr>
        <w:t>BVS: Board Resolution</w:t>
      </w:r>
    </w:p>
    <w:p w14:paraId="00000002" w14:textId="3D2C8925" w:rsidR="00317C39" w:rsidRPr="00DD5AC2" w:rsidRDefault="00DD5AC2" w:rsidP="00D74F38">
      <w:pPr>
        <w:pBdr>
          <w:top w:val="nil"/>
          <w:left w:val="nil"/>
          <w:bottom w:val="nil"/>
          <w:right w:val="nil"/>
          <w:between w:val="nil"/>
        </w:pBdr>
        <w:tabs>
          <w:tab w:val="left" w:pos="432"/>
          <w:tab w:val="left" w:pos="6055"/>
        </w:tabs>
        <w:spacing w:after="120" w:line="360" w:lineRule="auto"/>
        <w:jc w:val="both"/>
        <w:rPr>
          <w:rFonts w:ascii="Arial" w:eastAsia="Arial" w:hAnsi="Arial" w:cs="Arial"/>
          <w:color w:val="010000"/>
          <w:sz w:val="20"/>
          <w:szCs w:val="20"/>
        </w:rPr>
      </w:pPr>
      <w:r w:rsidRPr="00DD5AC2">
        <w:rPr>
          <w:rFonts w:ascii="Arial" w:hAnsi="Arial" w:cs="Arial"/>
          <w:color w:val="010000"/>
          <w:sz w:val="20"/>
        </w:rPr>
        <w:t xml:space="preserve">On September 27, 2024, </w:t>
      </w:r>
      <w:proofErr w:type="spellStart"/>
      <w:r w:rsidRPr="00DD5AC2">
        <w:rPr>
          <w:rFonts w:ascii="Arial" w:hAnsi="Arial" w:cs="Arial"/>
          <w:color w:val="010000"/>
          <w:sz w:val="20"/>
        </w:rPr>
        <w:t>Bao</w:t>
      </w:r>
      <w:proofErr w:type="spellEnd"/>
      <w:r w:rsidRPr="00DD5AC2">
        <w:rPr>
          <w:rFonts w:ascii="Arial" w:hAnsi="Arial" w:cs="Arial"/>
          <w:color w:val="010000"/>
          <w:sz w:val="20"/>
        </w:rPr>
        <w:t xml:space="preserve"> Viet Securities Joint Stock Company announced Resolution </w:t>
      </w:r>
      <w:r w:rsidR="004631D1" w:rsidRPr="00DD5AC2">
        <w:rPr>
          <w:rFonts w:ascii="Arial" w:hAnsi="Arial" w:cs="Arial"/>
          <w:color w:val="010000"/>
          <w:sz w:val="20"/>
        </w:rPr>
        <w:t xml:space="preserve">No. </w:t>
      </w:r>
      <w:r w:rsidRPr="00DD5AC2">
        <w:rPr>
          <w:rFonts w:ascii="Arial" w:hAnsi="Arial" w:cs="Arial"/>
          <w:color w:val="010000"/>
          <w:sz w:val="20"/>
        </w:rPr>
        <w:t xml:space="preserve">30/2024/NQ-HDQT on </w:t>
      </w:r>
      <w:r w:rsidR="004631D1" w:rsidRPr="00DD5AC2">
        <w:rPr>
          <w:rFonts w:ascii="Arial" w:hAnsi="Arial" w:cs="Arial"/>
          <w:color w:val="010000"/>
          <w:sz w:val="20"/>
        </w:rPr>
        <w:t>the dividend payment</w:t>
      </w:r>
      <w:r w:rsidRPr="00DD5AC2">
        <w:rPr>
          <w:rFonts w:ascii="Arial" w:hAnsi="Arial" w:cs="Arial"/>
          <w:color w:val="010000"/>
          <w:sz w:val="20"/>
        </w:rPr>
        <w:t xml:space="preserve"> 2023 in cash as follows:</w:t>
      </w:r>
    </w:p>
    <w:p w14:paraId="00000003" w14:textId="3C971540" w:rsidR="00317C39" w:rsidRPr="00DD5AC2" w:rsidRDefault="00DD5AC2" w:rsidP="00D74F3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D5AC2">
        <w:rPr>
          <w:rFonts w:ascii="Arial" w:hAnsi="Arial" w:cs="Arial"/>
          <w:color w:val="010000"/>
          <w:sz w:val="20"/>
        </w:rPr>
        <w:t>‎‎Article 1. Dividend payment 2023</w:t>
      </w:r>
      <w:r w:rsidR="004631D1" w:rsidRPr="00DD5AC2">
        <w:rPr>
          <w:rFonts w:ascii="Arial" w:hAnsi="Arial" w:cs="Arial"/>
          <w:color w:val="010000"/>
          <w:sz w:val="20"/>
        </w:rPr>
        <w:t xml:space="preserve"> in cash</w:t>
      </w:r>
    </w:p>
    <w:p w14:paraId="00000004" w14:textId="16DE1990" w:rsidR="00317C39" w:rsidRPr="00DD5AC2" w:rsidRDefault="00DD5AC2" w:rsidP="00D74F3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D5AC2">
        <w:rPr>
          <w:rFonts w:ascii="Arial" w:hAnsi="Arial" w:cs="Arial"/>
          <w:color w:val="010000"/>
          <w:sz w:val="20"/>
        </w:rPr>
        <w:t xml:space="preserve">The Board of Directors of </w:t>
      </w:r>
      <w:proofErr w:type="spellStart"/>
      <w:r w:rsidRPr="00DD5AC2">
        <w:rPr>
          <w:rFonts w:ascii="Arial" w:hAnsi="Arial" w:cs="Arial"/>
          <w:color w:val="010000"/>
          <w:sz w:val="20"/>
        </w:rPr>
        <w:t>Bao</w:t>
      </w:r>
      <w:proofErr w:type="spellEnd"/>
      <w:r w:rsidRPr="00DD5AC2">
        <w:rPr>
          <w:rFonts w:ascii="Arial" w:hAnsi="Arial" w:cs="Arial"/>
          <w:color w:val="010000"/>
          <w:sz w:val="20"/>
        </w:rPr>
        <w:t xml:space="preserve"> Viet Securities Joint Stock Company approved the dividend payment </w:t>
      </w:r>
      <w:r w:rsidR="00B602F8" w:rsidRPr="00DD5AC2">
        <w:rPr>
          <w:rFonts w:ascii="Arial" w:hAnsi="Arial" w:cs="Arial"/>
          <w:color w:val="010000"/>
          <w:sz w:val="20"/>
        </w:rPr>
        <w:t xml:space="preserve">2023 </w:t>
      </w:r>
      <w:r w:rsidRPr="00DD5AC2">
        <w:rPr>
          <w:rFonts w:ascii="Arial" w:hAnsi="Arial" w:cs="Arial"/>
          <w:color w:val="010000"/>
          <w:sz w:val="20"/>
        </w:rPr>
        <w:t>in cash as follows:</w:t>
      </w:r>
      <w:r w:rsidR="00B602F8" w:rsidRPr="00DD5AC2">
        <w:rPr>
          <w:rFonts w:ascii="Arial" w:hAnsi="Arial" w:cs="Arial"/>
          <w:color w:val="010000"/>
          <w:sz w:val="20"/>
        </w:rPr>
        <w:t xml:space="preserve"> </w:t>
      </w:r>
    </w:p>
    <w:p w14:paraId="00000005" w14:textId="77777777" w:rsidR="00317C39" w:rsidRPr="00DD5AC2" w:rsidRDefault="00DD5AC2" w:rsidP="00D74F38">
      <w:pPr>
        <w:numPr>
          <w:ilvl w:val="0"/>
          <w:numId w:val="1"/>
        </w:numPr>
        <w:pBdr>
          <w:top w:val="nil"/>
          <w:left w:val="nil"/>
          <w:bottom w:val="nil"/>
          <w:right w:val="nil"/>
          <w:between w:val="nil"/>
        </w:pBdr>
        <w:tabs>
          <w:tab w:val="left" w:pos="432"/>
          <w:tab w:val="left" w:pos="1230"/>
        </w:tabs>
        <w:spacing w:after="120" w:line="360" w:lineRule="auto"/>
        <w:jc w:val="both"/>
        <w:rPr>
          <w:rFonts w:ascii="Arial" w:eastAsia="Arial" w:hAnsi="Arial" w:cs="Arial"/>
          <w:color w:val="010000"/>
          <w:sz w:val="20"/>
          <w:szCs w:val="20"/>
        </w:rPr>
      </w:pPr>
      <w:r w:rsidRPr="00DD5AC2">
        <w:rPr>
          <w:rFonts w:ascii="Arial" w:hAnsi="Arial" w:cs="Arial"/>
          <w:color w:val="010000"/>
          <w:sz w:val="20"/>
        </w:rPr>
        <w:t>Securities code: BVS.</w:t>
      </w:r>
    </w:p>
    <w:p w14:paraId="00000006" w14:textId="77777777" w:rsidR="00317C39" w:rsidRPr="00DD5AC2" w:rsidRDefault="00DD5AC2" w:rsidP="00D74F38">
      <w:pPr>
        <w:numPr>
          <w:ilvl w:val="0"/>
          <w:numId w:val="1"/>
        </w:numPr>
        <w:pBdr>
          <w:top w:val="nil"/>
          <w:left w:val="nil"/>
          <w:bottom w:val="nil"/>
          <w:right w:val="nil"/>
          <w:between w:val="nil"/>
        </w:pBdr>
        <w:tabs>
          <w:tab w:val="left" w:pos="432"/>
          <w:tab w:val="left" w:pos="1230"/>
        </w:tabs>
        <w:spacing w:after="120" w:line="360" w:lineRule="auto"/>
        <w:jc w:val="both"/>
        <w:rPr>
          <w:rFonts w:ascii="Arial" w:eastAsia="Arial" w:hAnsi="Arial" w:cs="Arial"/>
          <w:color w:val="010000"/>
          <w:sz w:val="20"/>
          <w:szCs w:val="20"/>
        </w:rPr>
      </w:pPr>
      <w:r w:rsidRPr="00DD5AC2">
        <w:rPr>
          <w:rFonts w:ascii="Arial" w:hAnsi="Arial" w:cs="Arial"/>
          <w:color w:val="010000"/>
          <w:sz w:val="20"/>
        </w:rPr>
        <w:t>Securities type: Common shares.</w:t>
      </w:r>
    </w:p>
    <w:p w14:paraId="00000007" w14:textId="77777777" w:rsidR="00317C39" w:rsidRPr="00DD5AC2" w:rsidRDefault="00DD5AC2" w:rsidP="00D74F38">
      <w:pPr>
        <w:numPr>
          <w:ilvl w:val="0"/>
          <w:numId w:val="1"/>
        </w:numPr>
        <w:pBdr>
          <w:top w:val="nil"/>
          <w:left w:val="nil"/>
          <w:bottom w:val="nil"/>
          <w:right w:val="nil"/>
          <w:between w:val="nil"/>
        </w:pBdr>
        <w:tabs>
          <w:tab w:val="left" w:pos="432"/>
          <w:tab w:val="left" w:pos="1230"/>
        </w:tabs>
        <w:spacing w:after="120" w:line="360" w:lineRule="auto"/>
        <w:jc w:val="both"/>
        <w:rPr>
          <w:rFonts w:ascii="Arial" w:eastAsia="Arial" w:hAnsi="Arial" w:cs="Arial"/>
          <w:color w:val="010000"/>
          <w:sz w:val="20"/>
          <w:szCs w:val="20"/>
        </w:rPr>
      </w:pPr>
      <w:r w:rsidRPr="00DD5AC2">
        <w:rPr>
          <w:rFonts w:ascii="Arial" w:hAnsi="Arial" w:cs="Arial"/>
          <w:color w:val="010000"/>
          <w:sz w:val="20"/>
        </w:rPr>
        <w:t>Dividend payment form: In cash</w:t>
      </w:r>
    </w:p>
    <w:p w14:paraId="00000008" w14:textId="77777777" w:rsidR="00317C39" w:rsidRPr="00DD5AC2" w:rsidRDefault="00DD5AC2" w:rsidP="00D74F38">
      <w:pPr>
        <w:numPr>
          <w:ilvl w:val="0"/>
          <w:numId w:val="1"/>
        </w:numPr>
        <w:pBdr>
          <w:top w:val="nil"/>
          <w:left w:val="nil"/>
          <w:bottom w:val="nil"/>
          <w:right w:val="nil"/>
          <w:between w:val="nil"/>
        </w:pBdr>
        <w:tabs>
          <w:tab w:val="left" w:pos="432"/>
          <w:tab w:val="left" w:pos="1230"/>
        </w:tabs>
        <w:spacing w:after="120" w:line="360" w:lineRule="auto"/>
        <w:jc w:val="both"/>
        <w:rPr>
          <w:rFonts w:ascii="Arial" w:eastAsia="Arial" w:hAnsi="Arial" w:cs="Arial"/>
          <w:color w:val="010000"/>
          <w:sz w:val="20"/>
          <w:szCs w:val="20"/>
        </w:rPr>
      </w:pPr>
      <w:r w:rsidRPr="00DD5AC2">
        <w:rPr>
          <w:rFonts w:ascii="Arial" w:hAnsi="Arial" w:cs="Arial"/>
          <w:color w:val="010000"/>
          <w:sz w:val="20"/>
        </w:rPr>
        <w:t>Dividend payment rate: 08%/share par value (Shareholders receive VND800 for every share they own)</w:t>
      </w:r>
    </w:p>
    <w:p w14:paraId="00000009" w14:textId="2B2DDA12" w:rsidR="00317C39" w:rsidRPr="00DD5AC2" w:rsidRDefault="00DD5AC2" w:rsidP="00D74F38">
      <w:pPr>
        <w:numPr>
          <w:ilvl w:val="0"/>
          <w:numId w:val="1"/>
        </w:numPr>
        <w:pBdr>
          <w:top w:val="nil"/>
          <w:left w:val="nil"/>
          <w:bottom w:val="nil"/>
          <w:right w:val="nil"/>
          <w:between w:val="nil"/>
        </w:pBdr>
        <w:tabs>
          <w:tab w:val="left" w:pos="432"/>
          <w:tab w:val="left" w:pos="1230"/>
        </w:tabs>
        <w:spacing w:after="120" w:line="360" w:lineRule="auto"/>
        <w:jc w:val="both"/>
        <w:rPr>
          <w:rFonts w:ascii="Arial" w:eastAsia="Arial" w:hAnsi="Arial" w:cs="Arial"/>
          <w:color w:val="010000"/>
          <w:sz w:val="20"/>
          <w:szCs w:val="20"/>
        </w:rPr>
      </w:pPr>
      <w:r w:rsidRPr="00DD5AC2">
        <w:rPr>
          <w:rFonts w:ascii="Arial" w:hAnsi="Arial" w:cs="Arial"/>
          <w:color w:val="010000"/>
          <w:sz w:val="20"/>
        </w:rPr>
        <w:t>Dividend payment source: From actual profit after tax in 2023.</w:t>
      </w:r>
    </w:p>
    <w:p w14:paraId="0000000A" w14:textId="77777777" w:rsidR="00317C39" w:rsidRPr="00DD5AC2" w:rsidRDefault="00DD5AC2" w:rsidP="00D74F38">
      <w:pPr>
        <w:numPr>
          <w:ilvl w:val="0"/>
          <w:numId w:val="1"/>
        </w:numPr>
        <w:pBdr>
          <w:top w:val="nil"/>
          <w:left w:val="nil"/>
          <w:bottom w:val="nil"/>
          <w:right w:val="nil"/>
          <w:between w:val="nil"/>
        </w:pBdr>
        <w:tabs>
          <w:tab w:val="left" w:pos="432"/>
          <w:tab w:val="left" w:pos="1230"/>
        </w:tabs>
        <w:spacing w:after="120" w:line="360" w:lineRule="auto"/>
        <w:jc w:val="both"/>
        <w:rPr>
          <w:rFonts w:ascii="Arial" w:eastAsia="Arial" w:hAnsi="Arial" w:cs="Arial"/>
          <w:color w:val="010000"/>
          <w:sz w:val="20"/>
          <w:szCs w:val="20"/>
        </w:rPr>
      </w:pPr>
      <w:r w:rsidRPr="00DD5AC2">
        <w:rPr>
          <w:rFonts w:ascii="Arial" w:hAnsi="Arial" w:cs="Arial"/>
          <w:color w:val="010000"/>
          <w:sz w:val="20"/>
        </w:rPr>
        <w:t>Record date: October 10, 2024.</w:t>
      </w:r>
    </w:p>
    <w:p w14:paraId="0000000B" w14:textId="77777777" w:rsidR="00317C39" w:rsidRPr="00DD5AC2" w:rsidRDefault="00DD5AC2" w:rsidP="00D74F38">
      <w:pPr>
        <w:numPr>
          <w:ilvl w:val="0"/>
          <w:numId w:val="1"/>
        </w:numPr>
        <w:pBdr>
          <w:top w:val="nil"/>
          <w:left w:val="nil"/>
          <w:bottom w:val="nil"/>
          <w:right w:val="nil"/>
          <w:between w:val="nil"/>
        </w:pBdr>
        <w:tabs>
          <w:tab w:val="left" w:pos="432"/>
          <w:tab w:val="left" w:pos="1230"/>
        </w:tabs>
        <w:spacing w:after="120" w:line="360" w:lineRule="auto"/>
        <w:jc w:val="both"/>
        <w:rPr>
          <w:rFonts w:ascii="Arial" w:eastAsia="Arial" w:hAnsi="Arial" w:cs="Arial"/>
          <w:color w:val="010000"/>
          <w:sz w:val="20"/>
          <w:szCs w:val="20"/>
        </w:rPr>
      </w:pPr>
      <w:r w:rsidRPr="00DD5AC2">
        <w:rPr>
          <w:rFonts w:ascii="Arial" w:hAnsi="Arial" w:cs="Arial"/>
          <w:color w:val="010000"/>
          <w:sz w:val="20"/>
        </w:rPr>
        <w:t>Dividend payment date: October 22, 2024.</w:t>
      </w:r>
    </w:p>
    <w:p w14:paraId="0000000C" w14:textId="77777777" w:rsidR="00317C39" w:rsidRPr="00DD5AC2" w:rsidRDefault="00DD5AC2" w:rsidP="00D74F3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D5AC2">
        <w:rPr>
          <w:rFonts w:ascii="Arial" w:hAnsi="Arial" w:cs="Arial"/>
          <w:color w:val="010000"/>
          <w:sz w:val="20"/>
        </w:rPr>
        <w:t>‎‎Article 2. The Board of Directors assigned the General Manager of the Company to implement the dividend payment for shareholders in accordance with regulations in Article 1 of this Resolution and the provisions of law.</w:t>
      </w:r>
    </w:p>
    <w:p w14:paraId="0000000D" w14:textId="77777777" w:rsidR="00317C39" w:rsidRPr="00DD5AC2" w:rsidRDefault="00DD5AC2" w:rsidP="00D74F3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D5AC2">
        <w:rPr>
          <w:rFonts w:ascii="Arial" w:hAnsi="Arial" w:cs="Arial"/>
          <w:color w:val="010000"/>
          <w:sz w:val="20"/>
        </w:rPr>
        <w:t>‎‎Article 3. Terms of enforcement</w:t>
      </w:r>
    </w:p>
    <w:p w14:paraId="0000000E" w14:textId="77777777" w:rsidR="00317C39" w:rsidRPr="00DD5AC2" w:rsidRDefault="00DD5AC2" w:rsidP="00D74F38">
      <w:pPr>
        <w:pBdr>
          <w:top w:val="nil"/>
          <w:left w:val="nil"/>
          <w:bottom w:val="nil"/>
          <w:right w:val="nil"/>
          <w:between w:val="nil"/>
        </w:pBdr>
        <w:tabs>
          <w:tab w:val="left" w:pos="432"/>
          <w:tab w:val="left" w:pos="6658"/>
        </w:tabs>
        <w:spacing w:after="120" w:line="360" w:lineRule="auto"/>
        <w:jc w:val="both"/>
        <w:rPr>
          <w:rFonts w:ascii="Arial" w:eastAsia="Arial" w:hAnsi="Arial" w:cs="Arial"/>
          <w:color w:val="010000"/>
          <w:sz w:val="20"/>
          <w:szCs w:val="20"/>
        </w:rPr>
      </w:pPr>
      <w:r w:rsidRPr="00DD5AC2">
        <w:rPr>
          <w:rFonts w:ascii="Arial" w:hAnsi="Arial" w:cs="Arial"/>
          <w:color w:val="010000"/>
          <w:sz w:val="20"/>
        </w:rPr>
        <w:t>This Resolution takes effect from the date of its signing. Members of the Board of Directors, members of the Board of Management, the Supervisors, relevant Departments of the Company, relevant units, and individuals are responsible for the implementation of this Resolution./.</w:t>
      </w:r>
      <w:bookmarkEnd w:id="0"/>
    </w:p>
    <w:sectPr w:rsidR="00317C39" w:rsidRPr="00DD5AC2" w:rsidSect="004631D1">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E4331"/>
    <w:multiLevelType w:val="multilevel"/>
    <w:tmpl w:val="E6DE911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39"/>
    <w:rsid w:val="0015674A"/>
    <w:rsid w:val="00317C39"/>
    <w:rsid w:val="00381FFF"/>
    <w:rsid w:val="004631D1"/>
    <w:rsid w:val="00B602F8"/>
    <w:rsid w:val="00D74F38"/>
    <w:rsid w:val="00DD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3A570"/>
  <w15:docId w15:val="{E5011C60-26BE-444F-BB78-CCB885F4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qZ9WIUl7kMke7Nq+4PlU+eCzw==">CgMxLjA4AHIhMS1TdHEtWUVwZVJDYVpEQ2lPRlB3ZWVHT294UGR4cGRQ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2024-10-01T03:53:00Z</dcterms:created>
  <dcterms:modified xsi:type="dcterms:W3CDTF">2024-10-02T02:47:00Z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7706a899f3a2593766ffed4f977d0b953a4b2919cfecd865651ebbf71574bae6</vt:lpwstr>
  </property>
</Properties>
</file>