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0551" w:rsidRPr="00030C0E" w:rsidRDefault="00030C0E" w:rsidP="00163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30C0E">
        <w:rPr>
          <w:rFonts w:ascii="Arial" w:hAnsi="Arial" w:cs="Arial"/>
          <w:b/>
          <w:color w:val="010000"/>
          <w:sz w:val="20"/>
        </w:rPr>
        <w:t>TTT: Board Resolution</w:t>
      </w:r>
    </w:p>
    <w:p w14:paraId="00000002" w14:textId="67FF6E07" w:rsidR="00DD0551" w:rsidRPr="00030C0E" w:rsidRDefault="00030C0E" w:rsidP="00163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 xml:space="preserve">On September 26, 2024, </w:t>
      </w:r>
      <w:proofErr w:type="spellStart"/>
      <w:r w:rsidRPr="00030C0E">
        <w:rPr>
          <w:rFonts w:ascii="Arial" w:hAnsi="Arial" w:cs="Arial"/>
          <w:color w:val="010000"/>
          <w:sz w:val="20"/>
        </w:rPr>
        <w:t>Tay</w:t>
      </w:r>
      <w:proofErr w:type="spellEnd"/>
      <w:r w:rsidRPr="00030C0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30C0E">
        <w:rPr>
          <w:rFonts w:ascii="Arial" w:hAnsi="Arial" w:cs="Arial"/>
          <w:color w:val="010000"/>
          <w:sz w:val="20"/>
        </w:rPr>
        <w:t>Ninh</w:t>
      </w:r>
      <w:proofErr w:type="spellEnd"/>
      <w:r w:rsidRPr="00030C0E">
        <w:rPr>
          <w:rFonts w:ascii="Arial" w:hAnsi="Arial" w:cs="Arial"/>
          <w:color w:val="010000"/>
          <w:sz w:val="20"/>
        </w:rPr>
        <w:t xml:space="preserve"> Tourist - Trading Joint Stock Company announced Resolution </w:t>
      </w:r>
      <w:r w:rsidR="00354644" w:rsidRPr="00030C0E">
        <w:rPr>
          <w:rFonts w:ascii="Arial" w:hAnsi="Arial" w:cs="Arial"/>
          <w:color w:val="010000"/>
          <w:sz w:val="20"/>
        </w:rPr>
        <w:t xml:space="preserve">No. </w:t>
      </w:r>
      <w:r w:rsidRPr="00030C0E">
        <w:rPr>
          <w:rFonts w:ascii="Arial" w:hAnsi="Arial" w:cs="Arial"/>
          <w:color w:val="010000"/>
          <w:sz w:val="20"/>
        </w:rPr>
        <w:t xml:space="preserve">54/2024/NQ-HDQT/TTT as follows: </w:t>
      </w:r>
    </w:p>
    <w:p w14:paraId="00000003" w14:textId="185B98B9" w:rsidR="00DD0551" w:rsidRPr="00030C0E" w:rsidRDefault="00030C0E" w:rsidP="0016336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‎‎Article 1. Approv</w:t>
      </w:r>
      <w:r w:rsidR="00354644" w:rsidRPr="00030C0E">
        <w:rPr>
          <w:rFonts w:ascii="Arial" w:hAnsi="Arial" w:cs="Arial"/>
          <w:color w:val="010000"/>
          <w:sz w:val="20"/>
        </w:rPr>
        <w:t>e</w:t>
      </w:r>
    </w:p>
    <w:p w14:paraId="00000004" w14:textId="23918E63" w:rsidR="00DD0551" w:rsidRPr="00030C0E" w:rsidRDefault="00030C0E" w:rsidP="00163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 xml:space="preserve">Approve the record date to exercise the right </w:t>
      </w:r>
      <w:r w:rsidR="00354644" w:rsidRPr="00030C0E">
        <w:rPr>
          <w:rFonts w:ascii="Arial" w:hAnsi="Arial" w:cs="Arial"/>
          <w:color w:val="010000"/>
          <w:sz w:val="20"/>
        </w:rPr>
        <w:t xml:space="preserve">for the </w:t>
      </w:r>
      <w:r w:rsidR="0016336A">
        <w:rPr>
          <w:rFonts w:ascii="Arial" w:hAnsi="Arial" w:cs="Arial"/>
          <w:color w:val="010000"/>
          <w:sz w:val="20"/>
        </w:rPr>
        <w:t xml:space="preserve">2023 </w:t>
      </w:r>
      <w:r w:rsidR="00354644" w:rsidRPr="00030C0E">
        <w:rPr>
          <w:rFonts w:ascii="Arial" w:hAnsi="Arial" w:cs="Arial"/>
          <w:color w:val="010000"/>
          <w:sz w:val="20"/>
        </w:rPr>
        <w:t>dividend payment</w:t>
      </w:r>
      <w:r w:rsidR="0016336A">
        <w:rPr>
          <w:rFonts w:ascii="Arial" w:hAnsi="Arial" w:cs="Arial"/>
          <w:color w:val="010000"/>
          <w:sz w:val="20"/>
        </w:rPr>
        <w:t xml:space="preserve"> in cash</w:t>
      </w:r>
      <w:r w:rsidR="00354644" w:rsidRPr="00030C0E">
        <w:rPr>
          <w:rFonts w:ascii="Arial" w:hAnsi="Arial" w:cs="Arial"/>
          <w:color w:val="010000"/>
          <w:sz w:val="20"/>
        </w:rPr>
        <w:t xml:space="preserve"> </w:t>
      </w:r>
      <w:r w:rsidRPr="00030C0E">
        <w:rPr>
          <w:rFonts w:ascii="Arial" w:hAnsi="Arial" w:cs="Arial"/>
          <w:color w:val="010000"/>
          <w:sz w:val="20"/>
        </w:rPr>
        <w:t xml:space="preserve">of </w:t>
      </w:r>
      <w:proofErr w:type="spellStart"/>
      <w:r w:rsidRPr="00030C0E">
        <w:rPr>
          <w:rFonts w:ascii="Arial" w:hAnsi="Arial" w:cs="Arial"/>
          <w:color w:val="010000"/>
          <w:sz w:val="20"/>
        </w:rPr>
        <w:t>Tay</w:t>
      </w:r>
      <w:proofErr w:type="spellEnd"/>
      <w:r w:rsidRPr="00030C0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30C0E">
        <w:rPr>
          <w:rFonts w:ascii="Arial" w:hAnsi="Arial" w:cs="Arial"/>
          <w:color w:val="010000"/>
          <w:sz w:val="20"/>
        </w:rPr>
        <w:t>Ninh</w:t>
      </w:r>
      <w:proofErr w:type="spellEnd"/>
      <w:r w:rsidRPr="00030C0E">
        <w:rPr>
          <w:rFonts w:ascii="Arial" w:hAnsi="Arial" w:cs="Arial"/>
          <w:color w:val="010000"/>
          <w:sz w:val="20"/>
        </w:rPr>
        <w:t xml:space="preserve"> Tourist - Trading Joint Stock Company in cash </w:t>
      </w:r>
      <w:r w:rsidR="0016336A">
        <w:rPr>
          <w:rFonts w:ascii="Arial" w:hAnsi="Arial" w:cs="Arial"/>
          <w:color w:val="010000"/>
          <w:sz w:val="20"/>
        </w:rPr>
        <w:t>to outstanding</w:t>
      </w:r>
      <w:r w:rsidRPr="00030C0E">
        <w:rPr>
          <w:rFonts w:ascii="Arial" w:hAnsi="Arial" w:cs="Arial"/>
          <w:color w:val="010000"/>
          <w:sz w:val="20"/>
        </w:rPr>
        <w:t xml:space="preserve"> shareholders with the following specific contents:</w:t>
      </w:r>
    </w:p>
    <w:p w14:paraId="00000005" w14:textId="555248BD" w:rsidR="00DD0551" w:rsidRPr="00030C0E" w:rsidRDefault="00030C0E" w:rsidP="00163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  <w:tab w:val="left" w:pos="34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Securities code: TTT</w:t>
      </w:r>
    </w:p>
    <w:p w14:paraId="00000006" w14:textId="77777777" w:rsidR="00DD0551" w:rsidRPr="00030C0E" w:rsidRDefault="00030C0E" w:rsidP="00163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Securities type: Common shares</w:t>
      </w:r>
    </w:p>
    <w:p w14:paraId="00000007" w14:textId="77777777" w:rsidR="00DD0551" w:rsidRPr="00030C0E" w:rsidRDefault="00030C0E" w:rsidP="00163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Transaction par value: VND10,000</w:t>
      </w:r>
    </w:p>
    <w:p w14:paraId="00000008" w14:textId="77777777" w:rsidR="00DD0551" w:rsidRPr="00030C0E" w:rsidRDefault="00030C0E" w:rsidP="00163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  <w:tab w:val="left" w:pos="34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Exchange: HNX</w:t>
      </w:r>
    </w:p>
    <w:p w14:paraId="00000009" w14:textId="77777777" w:rsidR="00DD0551" w:rsidRPr="00030C0E" w:rsidRDefault="00030C0E" w:rsidP="00163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Record date: October 22, 2024</w:t>
      </w:r>
    </w:p>
    <w:p w14:paraId="0000000A" w14:textId="77777777" w:rsidR="00DD0551" w:rsidRPr="00030C0E" w:rsidRDefault="00030C0E" w:rsidP="00163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Dividend payment date: November 25, 2024</w:t>
      </w:r>
    </w:p>
    <w:p w14:paraId="0000000B" w14:textId="5CEE2338" w:rsidR="00DD0551" w:rsidRPr="00030C0E" w:rsidRDefault="00030C0E" w:rsidP="001633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Dividend payment rate in cash: 20%</w:t>
      </w:r>
      <w:r w:rsidR="00354644" w:rsidRPr="00030C0E">
        <w:rPr>
          <w:rFonts w:ascii="Arial" w:hAnsi="Arial" w:cs="Arial"/>
          <w:color w:val="010000"/>
          <w:sz w:val="20"/>
        </w:rPr>
        <w:t>/</w:t>
      </w:r>
      <w:r w:rsidRPr="00030C0E">
        <w:rPr>
          <w:rFonts w:ascii="Arial" w:hAnsi="Arial" w:cs="Arial"/>
          <w:color w:val="010000"/>
          <w:sz w:val="20"/>
        </w:rPr>
        <w:t xml:space="preserve"> share (shareholders receive VND2,000 for every </w:t>
      </w:r>
      <w:r w:rsidR="0016336A">
        <w:rPr>
          <w:rFonts w:ascii="Arial" w:hAnsi="Arial" w:cs="Arial"/>
          <w:color w:val="010000"/>
          <w:sz w:val="20"/>
        </w:rPr>
        <w:t>01 share owned)</w:t>
      </w:r>
    </w:p>
    <w:p w14:paraId="0000000C" w14:textId="77777777" w:rsidR="00DD0551" w:rsidRPr="00030C0E" w:rsidRDefault="00030C0E" w:rsidP="0016336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‎‎Article 2. Tasks assignment</w:t>
      </w:r>
    </w:p>
    <w:p w14:paraId="0000000D" w14:textId="3F43DCA8" w:rsidR="00DD0551" w:rsidRPr="00030C0E" w:rsidRDefault="00030C0E" w:rsidP="00163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 xml:space="preserve">The Board of Directors assigned the </w:t>
      </w:r>
      <w:r w:rsidR="0016336A">
        <w:rPr>
          <w:rFonts w:ascii="Arial" w:hAnsi="Arial" w:cs="Arial"/>
          <w:color w:val="010000"/>
          <w:sz w:val="20"/>
        </w:rPr>
        <w:t>Executive Board</w:t>
      </w:r>
      <w:r w:rsidRPr="00030C0E">
        <w:rPr>
          <w:rFonts w:ascii="Arial" w:hAnsi="Arial" w:cs="Arial"/>
          <w:color w:val="010000"/>
          <w:sz w:val="20"/>
        </w:rPr>
        <w:t xml:space="preserve"> of the Company to represent the Company, implementing procedures to record for the list of shareholders to exercise the right for </w:t>
      </w:r>
      <w:r w:rsidR="00354644" w:rsidRPr="00030C0E">
        <w:rPr>
          <w:rFonts w:ascii="Arial" w:hAnsi="Arial" w:cs="Arial"/>
          <w:color w:val="010000"/>
          <w:sz w:val="20"/>
        </w:rPr>
        <w:t xml:space="preserve">the </w:t>
      </w:r>
      <w:r w:rsidRPr="00030C0E">
        <w:rPr>
          <w:rFonts w:ascii="Arial" w:hAnsi="Arial" w:cs="Arial"/>
          <w:color w:val="010000"/>
          <w:sz w:val="20"/>
        </w:rPr>
        <w:t xml:space="preserve">dividend payment </w:t>
      </w:r>
      <w:r w:rsidR="00354644" w:rsidRPr="00030C0E">
        <w:rPr>
          <w:rFonts w:ascii="Arial" w:hAnsi="Arial" w:cs="Arial"/>
          <w:color w:val="010000"/>
          <w:sz w:val="20"/>
        </w:rPr>
        <w:t xml:space="preserve">2023 </w:t>
      </w:r>
      <w:r w:rsidRPr="00030C0E">
        <w:rPr>
          <w:rFonts w:ascii="Arial" w:hAnsi="Arial" w:cs="Arial"/>
          <w:color w:val="010000"/>
          <w:sz w:val="20"/>
        </w:rPr>
        <w:t xml:space="preserve">of </w:t>
      </w:r>
      <w:proofErr w:type="spellStart"/>
      <w:r w:rsidRPr="00030C0E">
        <w:rPr>
          <w:rFonts w:ascii="Arial" w:hAnsi="Arial" w:cs="Arial"/>
          <w:color w:val="010000"/>
          <w:sz w:val="20"/>
        </w:rPr>
        <w:t>Tay</w:t>
      </w:r>
      <w:proofErr w:type="spellEnd"/>
      <w:r w:rsidRPr="00030C0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30C0E">
        <w:rPr>
          <w:rFonts w:ascii="Arial" w:hAnsi="Arial" w:cs="Arial"/>
          <w:color w:val="010000"/>
          <w:sz w:val="20"/>
        </w:rPr>
        <w:t>Ninh</w:t>
      </w:r>
      <w:proofErr w:type="spellEnd"/>
      <w:r w:rsidRPr="00030C0E">
        <w:rPr>
          <w:rFonts w:ascii="Arial" w:hAnsi="Arial" w:cs="Arial"/>
          <w:color w:val="010000"/>
          <w:sz w:val="20"/>
        </w:rPr>
        <w:t xml:space="preserve"> Tourist - Trading Joint Stock Company to shareholders </w:t>
      </w:r>
      <w:r w:rsidR="0016336A">
        <w:rPr>
          <w:rFonts w:ascii="Arial" w:hAnsi="Arial" w:cs="Arial"/>
          <w:color w:val="010000"/>
          <w:sz w:val="20"/>
        </w:rPr>
        <w:t>under applicable laws.</w:t>
      </w:r>
      <w:bookmarkStart w:id="0" w:name="_GoBack"/>
      <w:bookmarkEnd w:id="0"/>
    </w:p>
    <w:p w14:paraId="0000000E" w14:textId="502D8640" w:rsidR="00DD0551" w:rsidRPr="00030C0E" w:rsidRDefault="00030C0E" w:rsidP="0016336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‎‎Article 3. Term of enforcement</w:t>
      </w:r>
    </w:p>
    <w:p w14:paraId="0000000F" w14:textId="4BDD1738" w:rsidR="00DD0551" w:rsidRPr="00030C0E" w:rsidRDefault="00030C0E" w:rsidP="0016336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30C0E">
        <w:rPr>
          <w:rFonts w:ascii="Arial" w:hAnsi="Arial" w:cs="Arial"/>
          <w:color w:val="010000"/>
          <w:sz w:val="20"/>
        </w:rPr>
        <w:t>Members</w:t>
      </w:r>
      <w:r w:rsidR="0016336A">
        <w:rPr>
          <w:rFonts w:ascii="Arial" w:hAnsi="Arial" w:cs="Arial"/>
          <w:color w:val="010000"/>
          <w:sz w:val="20"/>
        </w:rPr>
        <w:t xml:space="preserve"> of the Board of Directors, </w:t>
      </w:r>
      <w:r w:rsidRPr="00030C0E">
        <w:rPr>
          <w:rFonts w:ascii="Arial" w:hAnsi="Arial" w:cs="Arial"/>
          <w:color w:val="010000"/>
          <w:sz w:val="20"/>
        </w:rPr>
        <w:t>Supervisory Board</w:t>
      </w:r>
      <w:r w:rsidR="0016336A">
        <w:rPr>
          <w:rFonts w:ascii="Arial" w:hAnsi="Arial" w:cs="Arial"/>
          <w:color w:val="010000"/>
          <w:sz w:val="20"/>
        </w:rPr>
        <w:t xml:space="preserve"> and Executive Board</w:t>
      </w:r>
      <w:r w:rsidRPr="00030C0E">
        <w:rPr>
          <w:rFonts w:ascii="Arial" w:hAnsi="Arial" w:cs="Arial"/>
          <w:color w:val="010000"/>
          <w:sz w:val="20"/>
        </w:rPr>
        <w:t xml:space="preserve"> and relevant departments are responsible for implementing this Resolution. This Resolution takes effect from the date of its signing.</w:t>
      </w:r>
    </w:p>
    <w:sectPr w:rsidR="00DD0551" w:rsidRPr="00030C0E" w:rsidSect="0035464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A15A8"/>
    <w:multiLevelType w:val="multilevel"/>
    <w:tmpl w:val="1E46C52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51"/>
    <w:rsid w:val="00030C0E"/>
    <w:rsid w:val="000F2999"/>
    <w:rsid w:val="0016336A"/>
    <w:rsid w:val="00354644"/>
    <w:rsid w:val="005178C6"/>
    <w:rsid w:val="00D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CE200"/>
  <w15:docId w15:val="{B19AD5DA-EDDC-4073-BDCD-E2814177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54" w:lineRule="auto"/>
      <w:ind w:firstLine="3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SPfzIOJl/knjOUr8Xphjz18kg==">CgMxLjA4AHIhMXpIRzNWUWUxZldLTDJ2QVp1dnJ1bTdjamVJQ0o5bXBL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2024-10-03T02:40:00Z</dcterms:created>
  <dcterms:modified xsi:type="dcterms:W3CDTF">2024-10-03T02:40:00Z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4d2d801143a4db0eb9e217b03757488943cb33ed209a66c447dd3b3eaebee69d</vt:lpwstr>
  </property>
</Properties>
</file>