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56E" w:rsidRPr="00EC2ACC" w:rsidRDefault="00E4756E" w:rsidP="00E4756E">
      <w:pPr>
        <w:spacing w:after="120" w:line="360" w:lineRule="auto"/>
        <w:rPr>
          <w:rFonts w:ascii="Arial" w:hAnsi="Arial" w:cs="Arial"/>
          <w:b/>
          <w:color w:val="010000"/>
          <w:sz w:val="20"/>
        </w:rPr>
      </w:pPr>
      <w:r w:rsidRPr="00EC2ACC">
        <w:rPr>
          <w:rFonts w:ascii="Arial" w:hAnsi="Arial" w:cs="Arial"/>
          <w:b/>
          <w:color w:val="010000"/>
          <w:sz w:val="20"/>
        </w:rPr>
        <w:t>HVT: Board Resolution</w:t>
      </w:r>
    </w:p>
    <w:p w:rsidR="00E4756E" w:rsidRPr="00EC2ACC" w:rsidRDefault="00E4756E" w:rsidP="00160551">
      <w:pPr>
        <w:spacing w:after="120" w:line="360" w:lineRule="auto"/>
        <w:jc w:val="both"/>
        <w:rPr>
          <w:rFonts w:ascii="Arial" w:hAnsi="Arial" w:cs="Arial"/>
          <w:color w:val="010000"/>
          <w:sz w:val="20"/>
        </w:rPr>
      </w:pPr>
      <w:r w:rsidRPr="00EC2ACC">
        <w:rPr>
          <w:rFonts w:ascii="Arial" w:hAnsi="Arial" w:cs="Arial"/>
          <w:color w:val="010000"/>
          <w:sz w:val="20"/>
        </w:rPr>
        <w:t xml:space="preserve">On September 27, 2024, Viet Tri Chemicals JSC announced Resolution No. 58/NQ-HDQT on the implementation of the plan on share issuance to increase the share capital as follows: </w:t>
      </w:r>
    </w:p>
    <w:p w:rsidR="00E4756E" w:rsidRPr="00EC2ACC" w:rsidRDefault="00E4756E" w:rsidP="00160551">
      <w:pPr>
        <w:spacing w:after="120" w:line="360" w:lineRule="auto"/>
        <w:jc w:val="both"/>
        <w:rPr>
          <w:rFonts w:ascii="Arial" w:hAnsi="Arial" w:cs="Arial"/>
          <w:color w:val="010000"/>
          <w:sz w:val="20"/>
        </w:rPr>
      </w:pPr>
      <w:r w:rsidRPr="00EC2ACC">
        <w:rPr>
          <w:rFonts w:ascii="Arial" w:hAnsi="Arial" w:cs="Arial"/>
          <w:color w:val="010000"/>
          <w:sz w:val="20"/>
        </w:rPr>
        <w:t>‎‎Article 1. Approve the implementation of the plan on share issuance to increase the share capital from the source of owners' equity approved in General Mandate 2024 No. 54/NQ-DHDCD dated August 21, 2024 of the Company, specifically as follows:</w:t>
      </w:r>
    </w:p>
    <w:tbl>
      <w:tblPr>
        <w:tblW w:w="5000" w:type="pct"/>
        <w:tblLook w:val="04A0" w:firstRow="1" w:lastRow="0" w:firstColumn="1" w:lastColumn="0" w:noHBand="0" w:noVBand="1"/>
      </w:tblPr>
      <w:tblGrid>
        <w:gridCol w:w="4560"/>
        <w:gridCol w:w="4467"/>
      </w:tblGrid>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Shares name</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Shares of Viet Tri Chemicals JSC</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Securities code</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HVT</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Type of shares</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Common shares</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Par value</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VND10,000</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Current charter capital</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VND109,880,590,000</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Total number of issued shares</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10,988,059 shares</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xml:space="preserve">In which: </w:t>
            </w:r>
          </w:p>
        </w:tc>
        <w:tc>
          <w:tcPr>
            <w:tcW w:w="2474" w:type="pct"/>
            <w:shd w:val="clear" w:color="auto" w:fill="auto"/>
            <w:vAlign w:val="center"/>
          </w:tcPr>
          <w:p w:rsidR="00E4756E" w:rsidRPr="00EC2ACC" w:rsidRDefault="00E4756E" w:rsidP="00E4756E">
            <w:pPr>
              <w:spacing w:after="120" w:line="360" w:lineRule="auto"/>
              <w:rPr>
                <w:rFonts w:ascii="Arial" w:hAnsi="Arial" w:cs="Arial"/>
                <w:color w:val="010000"/>
                <w:sz w:val="20"/>
              </w:rPr>
            </w:pPr>
          </w:p>
        </w:tc>
      </w:tr>
      <w:tr w:rsidR="00E4756E" w:rsidRPr="00EC2ACC" w:rsidTr="00E4756E">
        <w:tc>
          <w:tcPr>
            <w:tcW w:w="2526" w:type="pct"/>
            <w:shd w:val="clear" w:color="auto" w:fill="auto"/>
            <w:vAlign w:val="center"/>
            <w:hideMark/>
          </w:tcPr>
          <w:p w:rsidR="00E4756E" w:rsidRPr="00EC2ACC" w:rsidRDefault="00E4756E" w:rsidP="00E4756E">
            <w:pPr>
              <w:numPr>
                <w:ilvl w:val="0"/>
                <w:numId w:val="4"/>
              </w:numPr>
              <w:spacing w:after="120" w:line="360" w:lineRule="auto"/>
              <w:ind w:left="0" w:firstLine="0"/>
              <w:rPr>
                <w:rFonts w:ascii="Arial" w:hAnsi="Arial" w:cs="Arial"/>
                <w:color w:val="010000"/>
                <w:sz w:val="20"/>
              </w:rPr>
            </w:pPr>
            <w:r w:rsidRPr="00EC2ACC">
              <w:rPr>
                <w:rFonts w:ascii="Arial" w:hAnsi="Arial" w:cs="Arial"/>
                <w:color w:val="010000"/>
                <w:sz w:val="20"/>
              </w:rPr>
              <w:t>Number of outstanding shares</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10,988,059 shares</w:t>
            </w:r>
          </w:p>
        </w:tc>
      </w:tr>
      <w:tr w:rsidR="00E4756E" w:rsidRPr="00EC2ACC" w:rsidTr="00E4756E">
        <w:tc>
          <w:tcPr>
            <w:tcW w:w="2526" w:type="pct"/>
            <w:shd w:val="clear" w:color="auto" w:fill="auto"/>
            <w:vAlign w:val="center"/>
            <w:hideMark/>
          </w:tcPr>
          <w:p w:rsidR="00E4756E" w:rsidRPr="00EC2ACC" w:rsidRDefault="00E4756E" w:rsidP="00E4756E">
            <w:pPr>
              <w:numPr>
                <w:ilvl w:val="0"/>
                <w:numId w:val="4"/>
              </w:numPr>
              <w:spacing w:after="120" w:line="360" w:lineRule="auto"/>
              <w:ind w:left="0" w:firstLine="0"/>
              <w:rPr>
                <w:rFonts w:ascii="Arial" w:hAnsi="Arial" w:cs="Arial"/>
                <w:color w:val="010000"/>
                <w:sz w:val="20"/>
              </w:rPr>
            </w:pPr>
            <w:r w:rsidRPr="00EC2ACC">
              <w:rPr>
                <w:rFonts w:ascii="Arial" w:hAnsi="Arial" w:cs="Arial"/>
                <w:color w:val="010000"/>
                <w:sz w:val="20"/>
              </w:rPr>
              <w:t>Number of treasury shares</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0 shares</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Number of shares expected to be issued</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16,482,089 shares</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Total issuance value per par value</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VND164,820,890,000</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Total expected number of shares after the issuance</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27,470,148 shares</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xml:space="preserve">Expected charter capital after the issuance </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VND274,701,480,000</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Issuance purposes</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Issue shares to increase the share capital from the source of owners' equity</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Subjects of the issuance</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Existing shareholders of HVT whose names are in the List of Securities Owners issued by the Vietnam Securities Depository and Clearing Corporation on the record date for shareholders to exercise the right to receive shares issued to increase the share capital from the source of owners' equity</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Capital resource for use</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xml:space="preserve">: Investment and Development Fund based on the Audited Financial Statements of the Company for the fiscal year ending on December 31, 2023: VND184,270,274,371 </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lastRenderedPageBreak/>
              <w:t>Issuance rate</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150%</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Right exercise rate</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1:1.5 (Shareholders owning 01 share will receive 1.5 new shares)</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Offering method</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Shares issued to existing shareholders will be distributed by the method of exercising the rights</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Plan on handling fractional shares</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The number of additional shares issued to each existing shareholder will be rounded down to the nearest unit according to the rounding down principle, the fractional shares (decimal parts) (if any) will be canceled and not issued.</w:t>
            </w:r>
          </w:p>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For example: On the record date for shareholders to exercise the right, shareholder A owns 555 shares, with the exercise rate of 1:1.5, the number of shares that shareholder A receives is 555*1.5/1=832.5 shares.</w:t>
            </w:r>
          </w:p>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According to the rounding principle, the number of new shares that Shareholder A is entitled to receive is 832 shares, the number of fractional shares is 0.5 shares will be canceled and not issued.</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Transfer restrictions</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xml:space="preserve">: Bonus shares are common shares issued to existing shareholders according to the rate and without transfer restrictions. The right to receive shares is not transferable. </w:t>
            </w:r>
          </w:p>
        </w:tc>
      </w:tr>
      <w:tr w:rsidR="00E4756E" w:rsidRPr="00EC2ACC" w:rsidTr="00E4756E">
        <w:tc>
          <w:tcPr>
            <w:tcW w:w="2526"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Implementation time</w:t>
            </w:r>
          </w:p>
        </w:tc>
        <w:tc>
          <w:tcPr>
            <w:tcW w:w="2474" w:type="pct"/>
            <w:shd w:val="clear" w:color="auto" w:fill="auto"/>
            <w:vAlign w:val="center"/>
            <w:hideMark/>
          </w:tcPr>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 After the State Securities Commission notices in writing of the receipt of the full issuance Report documents.</w:t>
            </w:r>
          </w:p>
          <w:p w:rsidR="00E4756E" w:rsidRPr="00EC2ACC" w:rsidRDefault="00E4756E" w:rsidP="00E4756E">
            <w:pPr>
              <w:spacing w:after="120" w:line="360" w:lineRule="auto"/>
              <w:rPr>
                <w:rFonts w:ascii="Arial" w:hAnsi="Arial" w:cs="Arial"/>
                <w:color w:val="010000"/>
                <w:sz w:val="20"/>
              </w:rPr>
            </w:pPr>
            <w:r w:rsidRPr="00EC2ACC">
              <w:rPr>
                <w:rFonts w:ascii="Arial" w:hAnsi="Arial" w:cs="Arial"/>
                <w:color w:val="010000"/>
                <w:sz w:val="20"/>
              </w:rPr>
              <w:t>Expected in Q4/2024.</w:t>
            </w:r>
          </w:p>
        </w:tc>
      </w:tr>
    </w:tbl>
    <w:p w:rsidR="00E4756E" w:rsidRPr="00EC2ACC" w:rsidRDefault="00E4756E" w:rsidP="00160551">
      <w:pPr>
        <w:spacing w:after="120" w:line="360" w:lineRule="auto"/>
        <w:jc w:val="both"/>
        <w:rPr>
          <w:rFonts w:ascii="Arial" w:hAnsi="Arial" w:cs="Arial"/>
          <w:color w:val="010000"/>
          <w:sz w:val="20"/>
        </w:rPr>
      </w:pPr>
      <w:r w:rsidRPr="00EC2ACC">
        <w:rPr>
          <w:rFonts w:ascii="Arial" w:hAnsi="Arial" w:cs="Arial"/>
          <w:color w:val="010000"/>
          <w:sz w:val="20"/>
        </w:rPr>
        <w:t xml:space="preserve">Article 2. Authorize/Assign the General Manager of </w:t>
      </w:r>
      <w:bookmarkStart w:id="0" w:name="_GoBack"/>
      <w:r w:rsidRPr="00EC2ACC">
        <w:rPr>
          <w:rFonts w:ascii="Arial" w:hAnsi="Arial" w:cs="Arial"/>
          <w:color w:val="010000"/>
          <w:sz w:val="20"/>
        </w:rPr>
        <w:t>the Company to decide and sign relevant documents, including but not limited to the following tasks:</w:t>
      </w:r>
    </w:p>
    <w:p w:rsidR="00E4756E" w:rsidRPr="00EC2ACC" w:rsidRDefault="00E4756E" w:rsidP="00160551">
      <w:pPr>
        <w:numPr>
          <w:ilvl w:val="0"/>
          <w:numId w:val="5"/>
        </w:numPr>
        <w:spacing w:after="120" w:line="360" w:lineRule="auto"/>
        <w:jc w:val="both"/>
        <w:rPr>
          <w:rFonts w:ascii="Arial" w:hAnsi="Arial" w:cs="Arial"/>
          <w:color w:val="010000"/>
          <w:sz w:val="20"/>
        </w:rPr>
      </w:pPr>
      <w:r w:rsidRPr="00EC2ACC">
        <w:rPr>
          <w:rFonts w:ascii="Arial" w:hAnsi="Arial" w:cs="Arial"/>
          <w:color w:val="010000"/>
          <w:sz w:val="20"/>
        </w:rPr>
        <w:t>Decide and sign documents in the Share Issuance Registration Document to increase the share capital from the source of owners' equity and implement other necessary procedures to report the share issuance and report the issuance results to the State Securities Commission;</w:t>
      </w:r>
    </w:p>
    <w:p w:rsidR="00E4756E" w:rsidRPr="00EC2ACC" w:rsidRDefault="00E4756E" w:rsidP="00160551">
      <w:pPr>
        <w:numPr>
          <w:ilvl w:val="0"/>
          <w:numId w:val="5"/>
        </w:numPr>
        <w:spacing w:after="120" w:line="360" w:lineRule="auto"/>
        <w:jc w:val="both"/>
        <w:rPr>
          <w:rFonts w:ascii="Arial" w:hAnsi="Arial" w:cs="Arial"/>
          <w:color w:val="010000"/>
          <w:sz w:val="20"/>
        </w:rPr>
      </w:pPr>
      <w:r w:rsidRPr="00EC2ACC">
        <w:rPr>
          <w:rFonts w:ascii="Arial" w:hAnsi="Arial" w:cs="Arial"/>
          <w:color w:val="010000"/>
          <w:sz w:val="20"/>
        </w:rPr>
        <w:t>Record the actual number of issued shares after handling the fractional shares.</w:t>
      </w:r>
    </w:p>
    <w:p w:rsidR="00E4756E" w:rsidRPr="00EC2ACC" w:rsidRDefault="00E4756E" w:rsidP="00160551">
      <w:pPr>
        <w:numPr>
          <w:ilvl w:val="0"/>
          <w:numId w:val="5"/>
        </w:numPr>
        <w:spacing w:after="120" w:line="360" w:lineRule="auto"/>
        <w:jc w:val="both"/>
        <w:rPr>
          <w:rFonts w:ascii="Arial" w:hAnsi="Arial" w:cs="Arial"/>
          <w:color w:val="010000"/>
          <w:sz w:val="20"/>
        </w:rPr>
      </w:pPr>
      <w:r w:rsidRPr="00EC2ACC">
        <w:rPr>
          <w:rFonts w:ascii="Arial" w:hAnsi="Arial" w:cs="Arial"/>
          <w:color w:val="010000"/>
          <w:sz w:val="20"/>
        </w:rPr>
        <w:t xml:space="preserve">Implement procedures to amend and supplement the Business Registration Certificate after </w:t>
      </w:r>
      <w:r w:rsidRPr="00EC2ACC">
        <w:rPr>
          <w:rFonts w:ascii="Arial" w:hAnsi="Arial" w:cs="Arial"/>
          <w:color w:val="010000"/>
          <w:sz w:val="20"/>
        </w:rPr>
        <w:lastRenderedPageBreak/>
        <w:t>the State Securities Commission notices on the receipt of the issuance results report.</w:t>
      </w:r>
    </w:p>
    <w:p w:rsidR="00E4756E" w:rsidRPr="00EC2ACC" w:rsidRDefault="00E4756E" w:rsidP="00160551">
      <w:pPr>
        <w:numPr>
          <w:ilvl w:val="0"/>
          <w:numId w:val="5"/>
        </w:numPr>
        <w:spacing w:after="120" w:line="360" w:lineRule="auto"/>
        <w:jc w:val="both"/>
        <w:rPr>
          <w:rFonts w:ascii="Arial" w:hAnsi="Arial" w:cs="Arial"/>
          <w:color w:val="010000"/>
          <w:sz w:val="20"/>
        </w:rPr>
      </w:pPr>
      <w:r w:rsidRPr="00EC2ACC">
        <w:rPr>
          <w:rFonts w:ascii="Arial" w:hAnsi="Arial" w:cs="Arial"/>
          <w:color w:val="010000"/>
          <w:sz w:val="20"/>
        </w:rPr>
        <w:t>Implement additional depository registration at the Vietnam Securities Depository and Clearing Corporation and additional trading registration on the Hanoi Stock Exchange for the entire number of actually issued shares</w:t>
      </w:r>
    </w:p>
    <w:p w:rsidR="00E4756E" w:rsidRPr="00EC2ACC" w:rsidRDefault="00E4756E" w:rsidP="00160551">
      <w:pPr>
        <w:numPr>
          <w:ilvl w:val="0"/>
          <w:numId w:val="5"/>
        </w:numPr>
        <w:spacing w:after="120" w:line="360" w:lineRule="auto"/>
        <w:jc w:val="both"/>
        <w:rPr>
          <w:rFonts w:ascii="Arial" w:hAnsi="Arial" w:cs="Arial"/>
          <w:color w:val="010000"/>
          <w:sz w:val="20"/>
        </w:rPr>
      </w:pPr>
      <w:r w:rsidRPr="00EC2ACC">
        <w:rPr>
          <w:rFonts w:ascii="Arial" w:hAnsi="Arial" w:cs="Arial"/>
          <w:color w:val="010000"/>
          <w:sz w:val="20"/>
        </w:rPr>
        <w:t>Implement other related tasks to ensure the success of the share issuance to increase the share capital from the source of owners' equity.</w:t>
      </w:r>
    </w:p>
    <w:p w:rsidR="00E4756E" w:rsidRPr="00EC2ACC" w:rsidRDefault="00E4756E" w:rsidP="00160551">
      <w:pPr>
        <w:spacing w:after="120" w:line="360" w:lineRule="auto"/>
        <w:jc w:val="both"/>
        <w:rPr>
          <w:rFonts w:ascii="Arial" w:hAnsi="Arial" w:cs="Arial"/>
          <w:color w:val="010000"/>
          <w:sz w:val="20"/>
        </w:rPr>
      </w:pPr>
      <w:r w:rsidRPr="00EC2ACC">
        <w:rPr>
          <w:rFonts w:ascii="Arial" w:hAnsi="Arial" w:cs="Arial"/>
          <w:color w:val="010000"/>
          <w:sz w:val="20"/>
        </w:rPr>
        <w:t>‎‎Article 3. This Resolution takes effect from the date of its signing. Members of the Board of Directors, the General Manager, relevant units and individuals are responsible for the implementation of this Resolution.</w:t>
      </w:r>
      <w:bookmarkEnd w:id="0"/>
    </w:p>
    <w:sectPr w:rsidR="00E4756E" w:rsidRPr="00EC2ACC" w:rsidSect="00E4756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4694E"/>
    <w:multiLevelType w:val="hybridMultilevel"/>
    <w:tmpl w:val="FC7A7108"/>
    <w:lvl w:ilvl="0" w:tplc="AD9CD398">
      <w:numFmt w:val="bullet"/>
      <w:lvlText w:val="-"/>
      <w:lvlJc w:val="left"/>
      <w:pPr>
        <w:ind w:left="720" w:hanging="360"/>
      </w:pPr>
      <w:rPr>
        <w:rFonts w:ascii="Arial" w:eastAsia="Courier Ne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C5D35"/>
    <w:multiLevelType w:val="hybridMultilevel"/>
    <w:tmpl w:val="1EBC98C0"/>
    <w:lvl w:ilvl="0" w:tplc="06E4C4CA">
      <w:numFmt w:val="bullet"/>
      <w:lvlText w:val="-"/>
      <w:lvlJc w:val="left"/>
      <w:pPr>
        <w:ind w:left="720" w:hanging="360"/>
      </w:pPr>
      <w:rPr>
        <w:rFonts w:ascii="Arial" w:eastAsia="Courier New" w:hAnsi="Arial" w:cs="Arial" w:hint="default"/>
        <w:b w:val="0"/>
        <w:i w:val="0"/>
        <w:sz w:val="20"/>
      </w:rPr>
    </w:lvl>
    <w:lvl w:ilvl="1" w:tplc="AD9E3456" w:tentative="1">
      <w:start w:val="1"/>
      <w:numFmt w:val="bullet"/>
      <w:lvlText w:val="o"/>
      <w:lvlJc w:val="left"/>
      <w:pPr>
        <w:ind w:left="1440" w:hanging="360"/>
      </w:pPr>
      <w:rPr>
        <w:rFonts w:ascii="Courier New" w:hAnsi="Courier New" w:cs="Courier New" w:hint="default"/>
        <w:b w:val="0"/>
        <w:i w:val="0"/>
        <w:sz w:val="20"/>
      </w:rPr>
    </w:lvl>
    <w:lvl w:ilvl="2" w:tplc="7E3EB60C"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3362F"/>
    <w:multiLevelType w:val="multilevel"/>
    <w:tmpl w:val="CFFA34A4"/>
    <w:lvl w:ilvl="0">
      <w:start w:val="1"/>
      <w:numFmt w:val="bullet"/>
      <w:lvlText w:val="-"/>
      <w:lvlJc w:val="left"/>
      <w:pPr>
        <w:ind w:left="0" w:firstLine="0"/>
      </w:pPr>
      <w:rPr>
        <w:rFonts w:ascii="Arial" w:eastAsia="Arial" w:hAnsi="Arial" w:cs="Arial"/>
        <w:b w:val="0"/>
        <w:i w:val="0"/>
        <w:smallCaps w:val="0"/>
        <w:strike w:val="0"/>
        <w:color w:val="5E6169"/>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58"/>
    <w:rsid w:val="00053140"/>
    <w:rsid w:val="00065B65"/>
    <w:rsid w:val="00132211"/>
    <w:rsid w:val="00160551"/>
    <w:rsid w:val="00564912"/>
    <w:rsid w:val="005F7658"/>
    <w:rsid w:val="007753B6"/>
    <w:rsid w:val="008E22E6"/>
    <w:rsid w:val="00A04D41"/>
    <w:rsid w:val="00B96CC3"/>
    <w:rsid w:val="00C57081"/>
    <w:rsid w:val="00E4756E"/>
    <w:rsid w:val="00EC2ACC"/>
    <w:rsid w:val="00F7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28420C-C1F0-42E3-BC0E-E62D9F23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5E6169"/>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5E6169"/>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5E6169"/>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0000FF"/>
      <w:sz w:val="18"/>
      <w:szCs w:val="18"/>
      <w:u w:val="none"/>
      <w:shd w:val="clear" w:color="auto" w:fill="auto"/>
    </w:rPr>
  </w:style>
  <w:style w:type="paragraph" w:styleId="BodyText">
    <w:name w:val="Body Text"/>
    <w:basedOn w:val="Normal"/>
    <w:link w:val="BodyTextChar"/>
    <w:qFormat/>
    <w:pPr>
      <w:spacing w:line="283" w:lineRule="auto"/>
    </w:pPr>
    <w:rPr>
      <w:rFonts w:ascii="Times New Roman" w:eastAsia="Times New Roman" w:hAnsi="Times New Roman" w:cs="Times New Roman"/>
      <w:color w:val="5E6169"/>
      <w:sz w:val="26"/>
      <w:szCs w:val="26"/>
    </w:rPr>
  </w:style>
  <w:style w:type="paragraph" w:customStyle="1" w:styleId="Other0">
    <w:name w:val="Other"/>
    <w:basedOn w:val="Normal"/>
    <w:link w:val="Other"/>
    <w:pPr>
      <w:spacing w:line="283" w:lineRule="auto"/>
    </w:pPr>
    <w:rPr>
      <w:rFonts w:ascii="Times New Roman" w:eastAsia="Times New Roman" w:hAnsi="Times New Roman" w:cs="Times New Roman"/>
      <w:color w:val="5E6169"/>
      <w:sz w:val="26"/>
      <w:szCs w:val="26"/>
    </w:rPr>
  </w:style>
  <w:style w:type="paragraph" w:customStyle="1" w:styleId="Bodytext20">
    <w:name w:val="Body text (2)"/>
    <w:basedOn w:val="Normal"/>
    <w:link w:val="Bodytext2"/>
    <w:rPr>
      <w:rFonts w:ascii="Times New Roman" w:eastAsia="Times New Roman" w:hAnsi="Times New Roman" w:cs="Times New Roman"/>
      <w:color w:val="5E6169"/>
      <w:sz w:val="20"/>
      <w:szCs w:val="20"/>
    </w:rPr>
  </w:style>
  <w:style w:type="paragraph" w:customStyle="1" w:styleId="Bodytext30">
    <w:name w:val="Body text (3)"/>
    <w:basedOn w:val="Normal"/>
    <w:link w:val="Bodytext3"/>
    <w:pPr>
      <w:spacing w:line="214" w:lineRule="auto"/>
    </w:pPr>
    <w:rPr>
      <w:rFonts w:ascii="Times New Roman" w:eastAsia="Times New Roman" w:hAnsi="Times New Roman" w:cs="Times New Roman"/>
      <w:color w:val="0000FF"/>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053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3405">
      <w:bodyDiv w:val="1"/>
      <w:marLeft w:val="0"/>
      <w:marRight w:val="0"/>
      <w:marTop w:val="0"/>
      <w:marBottom w:val="0"/>
      <w:divBdr>
        <w:top w:val="none" w:sz="0" w:space="0" w:color="auto"/>
        <w:left w:val="none" w:sz="0" w:space="0" w:color="auto"/>
        <w:bottom w:val="none" w:sz="0" w:space="0" w:color="auto"/>
        <w:right w:val="none" w:sz="0" w:space="0" w:color="auto"/>
      </w:divBdr>
    </w:div>
    <w:div w:id="630404813">
      <w:bodyDiv w:val="1"/>
      <w:marLeft w:val="0"/>
      <w:marRight w:val="0"/>
      <w:marTop w:val="0"/>
      <w:marBottom w:val="0"/>
      <w:divBdr>
        <w:top w:val="none" w:sz="0" w:space="0" w:color="auto"/>
        <w:left w:val="none" w:sz="0" w:space="0" w:color="auto"/>
        <w:bottom w:val="none" w:sz="0" w:space="0" w:color="auto"/>
        <w:right w:val="none" w:sz="0" w:space="0" w:color="auto"/>
      </w:divBdr>
    </w:div>
    <w:div w:id="1184900449">
      <w:bodyDiv w:val="1"/>
      <w:marLeft w:val="0"/>
      <w:marRight w:val="0"/>
      <w:marTop w:val="0"/>
      <w:marBottom w:val="0"/>
      <w:divBdr>
        <w:top w:val="none" w:sz="0" w:space="0" w:color="auto"/>
        <w:left w:val="none" w:sz="0" w:space="0" w:color="auto"/>
        <w:bottom w:val="none" w:sz="0" w:space="0" w:color="auto"/>
        <w:right w:val="none" w:sz="0" w:space="0" w:color="auto"/>
      </w:divBdr>
    </w:div>
    <w:div w:id="1790392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1O1tjHBs5fUaoaqJGmrw1+zSQ==">CgMxLjA4AHIhMTlvMjBGVlFXMzNMVzA5QnhWUUxtVGJ6VmNERC1hakF1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14</cp:revision>
  <dcterms:created xsi:type="dcterms:W3CDTF">2024-10-04T03:59:00Z</dcterms:created>
  <dcterms:modified xsi:type="dcterms:W3CDTF">2024-10-07T03:40:00Z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9ccc97ce9f65cd1755df1c75c06ba00c52f2b95e416a8e5e49549bc0d0e0d43a</vt:lpwstr>
  </property>
</Properties>
</file>