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162EC" w:rsidRPr="006C6A66" w:rsidRDefault="006C6A66" w:rsidP="006C6A6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6C6A66">
        <w:rPr>
          <w:rFonts w:ascii="Arial" w:hAnsi="Arial" w:cs="Arial"/>
          <w:b/>
          <w:color w:val="010000"/>
          <w:sz w:val="20"/>
        </w:rPr>
        <w:t>PVE: Board Resolution</w:t>
      </w:r>
    </w:p>
    <w:p w14:paraId="00000002" w14:textId="43CCCB4A" w:rsidR="00D162EC" w:rsidRPr="006C6A66" w:rsidRDefault="006C6A66" w:rsidP="006C6A6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C6A66">
        <w:rPr>
          <w:rFonts w:ascii="Arial" w:hAnsi="Arial" w:cs="Arial"/>
          <w:color w:val="010000"/>
          <w:sz w:val="20"/>
        </w:rPr>
        <w:t>On October 1, 2024, Petrovietnam Engineering Consultancy JSC announced Resolution No. 09/NQ-HDQT on approving the collection of shareholders’ opinions via a ballot to approve the list of audit companies for the Financial Statements 2023 of Petrovietnam Engineering Consultancy JSC, as follows:</w:t>
      </w:r>
    </w:p>
    <w:p w14:paraId="00000003" w14:textId="77777777" w:rsidR="00D162EC" w:rsidRPr="006C6A66" w:rsidRDefault="006C6A66" w:rsidP="006C6A6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C6A66">
        <w:rPr>
          <w:rFonts w:ascii="Arial" w:hAnsi="Arial" w:cs="Arial"/>
          <w:color w:val="010000"/>
          <w:sz w:val="20"/>
        </w:rPr>
        <w:t>‎‎Article 1. Approve on collecting shareholders’ opinions via a ballot to approve the list of audit companies for the Financial Statements 2023 of Petrovietnam Engineering Consultancy JSC.</w:t>
      </w:r>
    </w:p>
    <w:p w14:paraId="00000004" w14:textId="77777777" w:rsidR="00D162EC" w:rsidRPr="006C6A66" w:rsidRDefault="006C6A66" w:rsidP="006C6A6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C6A66">
        <w:rPr>
          <w:rFonts w:ascii="Arial" w:hAnsi="Arial" w:cs="Arial"/>
          <w:color w:val="010000"/>
          <w:sz w:val="20"/>
        </w:rPr>
        <w:t>‎‎Article 2. Members of the Board of Directors, the Supervisory Board, and the General Manager of Petrovietnam Engineering Consultancy JSC implement the next tasks with contents approved in Article 1 in accordance withe current provisions of law and the Charter of Petrovietnam Engineering Consultancy JSC.</w:t>
      </w:r>
    </w:p>
    <w:p w14:paraId="00000005" w14:textId="77777777" w:rsidR="00D162EC" w:rsidRPr="006C6A66" w:rsidRDefault="006C6A66" w:rsidP="006C6A6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C6A66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00000006" w14:textId="77777777" w:rsidR="00D162EC" w:rsidRPr="006C6A66" w:rsidRDefault="006C6A66" w:rsidP="006C6A6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C6A66">
        <w:rPr>
          <w:rFonts w:ascii="Arial" w:hAnsi="Arial" w:cs="Arial"/>
          <w:color w:val="010000"/>
          <w:sz w:val="20"/>
        </w:rPr>
        <w:t>‎‎Article 4. Members of the Board of Directors, the Supervisory Board, and the General Manager of Petrovietnam Engineering Consultancy JSC are responsible for the implementation of this Resolution./.</w:t>
      </w:r>
    </w:p>
    <w:sectPr w:rsidR="00D162EC" w:rsidRPr="006C6A66" w:rsidSect="006C6A66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EC"/>
    <w:rsid w:val="006C6A66"/>
    <w:rsid w:val="00AD1244"/>
    <w:rsid w:val="00D1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DFD446-FF14-4543-9DF3-2E949A80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ind w:left="51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HoQ+hAHCiNw4Hy2Ji+LaZoFIhw==">CgMxLjA4AHIhMUdiUGs1Z3FMWG92bjZ3MmhESVdNSDlWZkRfYU5hcUFW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2024-10-07T04:07:00Z</dcterms:created>
  <dcterms:modified xsi:type="dcterms:W3CDTF">2024-10-07T04:07:00Z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573f3f77ec3633b2bf4c925a1a1abd944c103bdd4ce628391ddf5cbf21200c23</vt:lpwstr>
  </property>
</Properties>
</file>