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D635EE">
        <w:rPr>
          <w:rFonts w:ascii="Arial" w:hAnsi="Arial" w:cs="Arial"/>
          <w:b/>
          <w:color w:val="010000"/>
          <w:sz w:val="20"/>
          <w:szCs w:val="20"/>
        </w:rPr>
        <w:t>AVG: Extraordinary General Mandate 2024</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On October 1, 2024, </w:t>
      </w:r>
      <w:r w:rsidR="00CD2968" w:rsidRPr="00D635EE">
        <w:rPr>
          <w:rFonts w:ascii="Arial" w:hAnsi="Arial" w:cs="Arial"/>
          <w:color w:val="010000"/>
          <w:sz w:val="20"/>
          <w:szCs w:val="20"/>
        </w:rPr>
        <w:t>Europe Vietnam International Fertilizer Joint Stock Company</w:t>
      </w:r>
      <w:r w:rsidRPr="00D635EE">
        <w:rPr>
          <w:rFonts w:ascii="Arial" w:hAnsi="Arial" w:cs="Arial"/>
          <w:color w:val="010000"/>
          <w:sz w:val="20"/>
          <w:szCs w:val="20"/>
        </w:rPr>
        <w:t xml:space="preserve"> announced General Mandate No. 02/2024/NQ-DHDCD/AVG as follows:</w:t>
      </w:r>
    </w:p>
    <w:p w:rsidR="006337D9" w:rsidRPr="00D635EE" w:rsidRDefault="00C666EE" w:rsidP="00D635E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35EE">
        <w:rPr>
          <w:rFonts w:ascii="Arial" w:hAnsi="Arial" w:cs="Arial"/>
          <w:color w:val="010000"/>
          <w:sz w:val="20"/>
          <w:szCs w:val="20"/>
        </w:rPr>
        <w:t>The Extraordinary General Meeting of Shareholders 2024 approved the</w:t>
      </w:r>
      <w:bookmarkStart w:id="0" w:name="_GoBack"/>
      <w:bookmarkEnd w:id="0"/>
      <w:r w:rsidRPr="00D635EE">
        <w:rPr>
          <w:rFonts w:ascii="Arial" w:hAnsi="Arial" w:cs="Arial"/>
          <w:color w:val="010000"/>
          <w:sz w:val="20"/>
          <w:szCs w:val="20"/>
        </w:rPr>
        <w:t xml:space="preserve"> following main contents: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Article 1: Approve on canceling the </w:t>
      </w:r>
      <w:r w:rsidR="000E3C82" w:rsidRPr="00D635EE">
        <w:rPr>
          <w:rFonts w:ascii="Arial" w:hAnsi="Arial" w:cs="Arial"/>
          <w:color w:val="010000"/>
          <w:sz w:val="20"/>
          <w:szCs w:val="20"/>
        </w:rPr>
        <w:t xml:space="preserve">plan </w:t>
      </w:r>
      <w:r w:rsidR="00E70917" w:rsidRPr="00D635EE">
        <w:rPr>
          <w:rFonts w:ascii="Arial" w:hAnsi="Arial" w:cs="Arial"/>
          <w:color w:val="010000"/>
          <w:sz w:val="20"/>
          <w:szCs w:val="20"/>
        </w:rPr>
        <w:t>on the offering of additional shares</w:t>
      </w:r>
      <w:r w:rsidRPr="00D635EE">
        <w:rPr>
          <w:rFonts w:ascii="Arial" w:hAnsi="Arial" w:cs="Arial"/>
          <w:color w:val="010000"/>
          <w:sz w:val="20"/>
          <w:szCs w:val="20"/>
        </w:rPr>
        <w:t xml:space="preserve"> to existing shareholders approved in Annual General Mandate No. 01/2024/NQ-DHDCD/AVG dated April 26, 2024:</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The General Meeting of Shareholders approved on canceling the </w:t>
      </w:r>
      <w:r w:rsidR="000E3C82" w:rsidRPr="00D635EE">
        <w:rPr>
          <w:rFonts w:ascii="Arial" w:hAnsi="Arial" w:cs="Arial"/>
          <w:color w:val="010000"/>
          <w:sz w:val="20"/>
          <w:szCs w:val="20"/>
        </w:rPr>
        <w:t>p</w:t>
      </w:r>
      <w:r w:rsidRPr="00D635EE">
        <w:rPr>
          <w:rFonts w:ascii="Arial" w:hAnsi="Arial" w:cs="Arial"/>
          <w:color w:val="010000"/>
          <w:sz w:val="20"/>
          <w:szCs w:val="20"/>
        </w:rPr>
        <w:t>lan to offer additional shares to existing shareholders approved in Annual General Mandate 2024 No. 01/2024/NQ-DHDCD/AVG dated April 26, 2024.</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Based on the Company's development plan </w:t>
      </w:r>
      <w:r w:rsidR="004B1787" w:rsidRPr="00D635EE">
        <w:rPr>
          <w:rFonts w:ascii="Arial" w:hAnsi="Arial" w:cs="Arial"/>
          <w:color w:val="010000"/>
          <w:sz w:val="20"/>
          <w:szCs w:val="20"/>
        </w:rPr>
        <w:t>for</w:t>
      </w:r>
      <w:r w:rsidRPr="00D635EE">
        <w:rPr>
          <w:rFonts w:ascii="Arial" w:hAnsi="Arial" w:cs="Arial"/>
          <w:color w:val="010000"/>
          <w:sz w:val="20"/>
          <w:szCs w:val="20"/>
        </w:rPr>
        <w:t xml:space="preserve"> the upcoming years, the Board of Directors will report and submit to the General Meeting of Shareholders for approval a new capital increase plan to ensure it is consistent with the Company's practical needs and the interests of shareholders.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Article 2: Approve on canceling the </w:t>
      </w:r>
      <w:r w:rsidR="00C67ECB" w:rsidRPr="00D635EE">
        <w:rPr>
          <w:rFonts w:ascii="Arial" w:hAnsi="Arial" w:cs="Arial"/>
          <w:color w:val="010000"/>
          <w:sz w:val="20"/>
          <w:szCs w:val="20"/>
        </w:rPr>
        <w:t>d</w:t>
      </w:r>
      <w:r w:rsidRPr="00D635EE">
        <w:rPr>
          <w:rFonts w:ascii="Arial" w:hAnsi="Arial" w:cs="Arial"/>
          <w:color w:val="010000"/>
          <w:sz w:val="20"/>
          <w:szCs w:val="20"/>
        </w:rPr>
        <w:t xml:space="preserve">ividend </w:t>
      </w:r>
      <w:r w:rsidR="00C67ECB" w:rsidRPr="00D635EE">
        <w:rPr>
          <w:rFonts w:ascii="Arial" w:hAnsi="Arial" w:cs="Arial"/>
          <w:color w:val="010000"/>
          <w:sz w:val="20"/>
          <w:szCs w:val="20"/>
        </w:rPr>
        <w:t>p</w:t>
      </w:r>
      <w:r w:rsidRPr="00D635EE">
        <w:rPr>
          <w:rFonts w:ascii="Arial" w:hAnsi="Arial" w:cs="Arial"/>
          <w:color w:val="010000"/>
          <w:sz w:val="20"/>
          <w:szCs w:val="20"/>
        </w:rPr>
        <w:t xml:space="preserve">ayment </w:t>
      </w:r>
      <w:r w:rsidR="00C67ECB" w:rsidRPr="00D635EE">
        <w:rPr>
          <w:rFonts w:ascii="Arial" w:hAnsi="Arial" w:cs="Arial"/>
          <w:color w:val="010000"/>
          <w:sz w:val="20"/>
          <w:szCs w:val="20"/>
        </w:rPr>
        <w:t>p</w:t>
      </w:r>
      <w:r w:rsidRPr="00D635EE">
        <w:rPr>
          <w:rFonts w:ascii="Arial" w:hAnsi="Arial" w:cs="Arial"/>
          <w:color w:val="010000"/>
          <w:sz w:val="20"/>
          <w:szCs w:val="20"/>
        </w:rPr>
        <w:t>lan approved in Annual General Mandate No. 01/2024/NQ-DHDCD/AVG dated April 26, 2024.</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Article 3: Approve the </w:t>
      </w:r>
      <w:r w:rsidR="00C67ECB" w:rsidRPr="00D635EE">
        <w:rPr>
          <w:rFonts w:ascii="Arial" w:hAnsi="Arial" w:cs="Arial"/>
          <w:color w:val="010000"/>
          <w:sz w:val="20"/>
          <w:szCs w:val="20"/>
        </w:rPr>
        <w:t xml:space="preserve">dividend payment plan </w:t>
      </w:r>
      <w:r w:rsidRPr="00D635EE">
        <w:rPr>
          <w:rFonts w:ascii="Arial" w:hAnsi="Arial" w:cs="Arial"/>
          <w:color w:val="010000"/>
          <w:sz w:val="20"/>
          <w:szCs w:val="20"/>
        </w:rPr>
        <w:t>in 2022 and 2023. Specifically as follows: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Dividend </w:t>
      </w:r>
      <w:r w:rsidR="00C67ECB" w:rsidRPr="00D635EE">
        <w:rPr>
          <w:rFonts w:ascii="Arial" w:hAnsi="Arial" w:cs="Arial"/>
          <w:color w:val="010000"/>
          <w:sz w:val="20"/>
          <w:szCs w:val="20"/>
        </w:rPr>
        <w:t>payment pla</w:t>
      </w:r>
      <w:r w:rsidRPr="00D635EE">
        <w:rPr>
          <w:rFonts w:ascii="Arial" w:hAnsi="Arial" w:cs="Arial"/>
          <w:color w:val="010000"/>
          <w:sz w:val="20"/>
          <w:szCs w:val="20"/>
        </w:rPr>
        <w:t xml:space="preserve">n </w:t>
      </w:r>
      <w:r w:rsidR="00923369" w:rsidRPr="00D635EE">
        <w:rPr>
          <w:rFonts w:ascii="Arial" w:hAnsi="Arial" w:cs="Arial"/>
          <w:color w:val="010000"/>
          <w:sz w:val="20"/>
          <w:szCs w:val="20"/>
        </w:rPr>
        <w:t xml:space="preserve">in </w:t>
      </w:r>
      <w:r w:rsidRPr="00D635EE">
        <w:rPr>
          <w:rFonts w:ascii="Arial" w:hAnsi="Arial" w:cs="Arial"/>
          <w:color w:val="010000"/>
          <w:sz w:val="20"/>
          <w:szCs w:val="20"/>
        </w:rPr>
        <w:t>2022 and 2023</w:t>
      </w:r>
    </w:p>
    <w:tbl>
      <w:tblPr>
        <w:tblStyle w:val="a"/>
        <w:tblW w:w="5000" w:type="pct"/>
        <w:tblBorders>
          <w:top w:val="nil"/>
          <w:left w:val="nil"/>
          <w:bottom w:val="nil"/>
          <w:right w:val="nil"/>
          <w:insideH w:val="nil"/>
          <w:insideV w:val="nil"/>
        </w:tblBorders>
        <w:tblLook w:val="0400" w:firstRow="0" w:lastRow="0" w:firstColumn="0" w:lastColumn="0" w:noHBand="0" w:noVBand="1"/>
      </w:tblPr>
      <w:tblGrid>
        <w:gridCol w:w="3349"/>
        <w:gridCol w:w="280"/>
        <w:gridCol w:w="5398"/>
      </w:tblGrid>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Form of issuance (form of capital increase)</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E70917"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Issue additional shares</w:t>
            </w:r>
            <w:r w:rsidR="00C666EE" w:rsidRPr="00D635EE">
              <w:rPr>
                <w:rFonts w:ascii="Arial" w:hAnsi="Arial" w:cs="Arial"/>
                <w:color w:val="010000"/>
                <w:sz w:val="20"/>
                <w:szCs w:val="20"/>
              </w:rPr>
              <w:t xml:space="preserve"> to pay dividends</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Dividend payment rate by shares (30%)</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 w:val="left" w:pos="3384"/>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10:03 On the record date for the list of shareholders to exercise their rights, shareholders </w:t>
            </w:r>
            <w:r w:rsidR="00801624" w:rsidRPr="00D635EE">
              <w:rPr>
                <w:rFonts w:ascii="Arial" w:hAnsi="Arial" w:cs="Arial"/>
                <w:color w:val="010000"/>
                <w:sz w:val="20"/>
                <w:szCs w:val="20"/>
              </w:rPr>
              <w:t>owning</w:t>
            </w:r>
            <w:r w:rsidRPr="00D635EE">
              <w:rPr>
                <w:rFonts w:ascii="Arial" w:hAnsi="Arial" w:cs="Arial"/>
                <w:color w:val="010000"/>
                <w:sz w:val="20"/>
                <w:szCs w:val="20"/>
              </w:rPr>
              <w:t xml:space="preserve"> 10 shares will receive 03 new shares</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 xml:space="preserve">Issue </w:t>
            </w:r>
            <w:r w:rsidR="00801624" w:rsidRPr="00D635EE">
              <w:rPr>
                <w:rFonts w:ascii="Arial" w:hAnsi="Arial" w:cs="Arial"/>
                <w:color w:val="010000"/>
                <w:sz w:val="20"/>
                <w:szCs w:val="20"/>
              </w:rPr>
              <w:t>su</w:t>
            </w:r>
            <w:r w:rsidRPr="00D635EE">
              <w:rPr>
                <w:rFonts w:ascii="Arial" w:hAnsi="Arial" w:cs="Arial"/>
                <w:color w:val="010000"/>
                <w:sz w:val="20"/>
                <w:szCs w:val="20"/>
              </w:rPr>
              <w:t>bjects: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 w:val="left" w:pos="3384"/>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Existing shareholders according to the list of shareholders recorded by the Vietnam Securities Depository and Clearing Corporation on the record date to receive dividends by shares</w:t>
            </w:r>
          </w:p>
        </w:tc>
      </w:tr>
      <w:tr w:rsidR="006337D9" w:rsidRPr="00D635EE" w:rsidTr="00C666EE">
        <w:tc>
          <w:tcPr>
            <w:tcW w:w="1855" w:type="pct"/>
            <w:shd w:val="clear" w:color="auto" w:fill="auto"/>
            <w:vAlign w:val="center"/>
          </w:tcPr>
          <w:p w:rsidR="006337D9" w:rsidRPr="00D635EE" w:rsidRDefault="00801624"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Source of the share issuance to pay dividends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 w:val="left" w:pos="3384"/>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From undistributed profits after tax in the Audited Financial Statements 2023</w:t>
            </w:r>
            <w:r w:rsidR="00801624" w:rsidRPr="00D635EE">
              <w:rPr>
                <w:rFonts w:ascii="Arial" w:hAnsi="Arial" w:cs="Arial"/>
                <w:color w:val="010000"/>
                <w:sz w:val="20"/>
                <w:szCs w:val="20"/>
              </w:rPr>
              <w:t xml:space="preserve"> of the Company</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 xml:space="preserve">Expected issuance time (time of </w:t>
            </w:r>
            <w:r w:rsidR="00801624" w:rsidRPr="00D635EE">
              <w:rPr>
                <w:rFonts w:ascii="Arial" w:hAnsi="Arial" w:cs="Arial"/>
                <w:color w:val="010000"/>
                <w:sz w:val="20"/>
                <w:szCs w:val="20"/>
              </w:rPr>
              <w:t xml:space="preserve">the </w:t>
            </w:r>
            <w:r w:rsidRPr="00D635EE">
              <w:rPr>
                <w:rFonts w:ascii="Arial" w:hAnsi="Arial" w:cs="Arial"/>
                <w:color w:val="010000"/>
                <w:sz w:val="20"/>
                <w:szCs w:val="20"/>
              </w:rPr>
              <w:t>capital increase)</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Expected in 2024 after approval by the State Securities Commission</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Number of outstanding shares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1</w:t>
            </w:r>
            <w:r w:rsidR="00801624" w:rsidRPr="00D635EE">
              <w:rPr>
                <w:rFonts w:ascii="Arial" w:hAnsi="Arial" w:cs="Arial"/>
                <w:color w:val="010000"/>
                <w:sz w:val="20"/>
                <w:szCs w:val="20"/>
              </w:rPr>
              <w:t>3</w:t>
            </w:r>
            <w:r w:rsidRPr="00D635EE">
              <w:rPr>
                <w:rFonts w:ascii="Arial" w:hAnsi="Arial" w:cs="Arial"/>
                <w:color w:val="010000"/>
                <w:sz w:val="20"/>
                <w:szCs w:val="20"/>
              </w:rPr>
              <w:t>,600,000 shares</w:t>
            </w:r>
          </w:p>
        </w:tc>
      </w:tr>
      <w:tr w:rsidR="006337D9" w:rsidRPr="00D635EE" w:rsidTr="00C666EE">
        <w:tc>
          <w:tcPr>
            <w:tcW w:w="1855" w:type="pct"/>
            <w:shd w:val="clear" w:color="auto" w:fill="auto"/>
            <w:vAlign w:val="center"/>
          </w:tcPr>
          <w:p w:rsidR="006337D9" w:rsidRPr="00D635EE" w:rsidRDefault="00C666EE" w:rsidP="00D635EE">
            <w:pPr>
              <w:pStyle w:val="ListParagraph"/>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Expected number of shares </w:t>
            </w:r>
            <w:r w:rsidR="0057789F" w:rsidRPr="00D635EE">
              <w:rPr>
                <w:rFonts w:ascii="Arial" w:hAnsi="Arial" w:cs="Arial"/>
                <w:color w:val="010000"/>
                <w:sz w:val="20"/>
                <w:szCs w:val="20"/>
              </w:rPr>
              <w:t>issued</w:t>
            </w:r>
            <w:r w:rsidR="00801624" w:rsidRPr="00D635EE">
              <w:rPr>
                <w:rFonts w:ascii="Arial" w:hAnsi="Arial" w:cs="Arial"/>
                <w:color w:val="010000"/>
                <w:sz w:val="20"/>
                <w:szCs w:val="20"/>
              </w:rPr>
              <w:t xml:space="preserve"> to pay dividends</w:t>
            </w:r>
            <w:r w:rsidRPr="00D635EE">
              <w:rPr>
                <w:rFonts w:ascii="Arial" w:hAnsi="Arial" w:cs="Arial"/>
                <w:color w:val="010000"/>
                <w:sz w:val="20"/>
                <w:szCs w:val="20"/>
              </w:rPr>
              <w:t>:</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4,080,000 shares</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t xml:space="preserve">Estimated number of shares after </w:t>
            </w:r>
            <w:r w:rsidR="0057789F" w:rsidRPr="00D635EE">
              <w:rPr>
                <w:rFonts w:ascii="Arial" w:hAnsi="Arial" w:cs="Arial"/>
                <w:color w:val="010000"/>
                <w:sz w:val="20"/>
                <w:szCs w:val="20"/>
              </w:rPr>
              <w:t>the share issuance</w:t>
            </w:r>
            <w:r w:rsidRPr="00D635EE">
              <w:rPr>
                <w:rFonts w:ascii="Arial" w:hAnsi="Arial" w:cs="Arial"/>
                <w:color w:val="010000"/>
                <w:sz w:val="20"/>
                <w:szCs w:val="20"/>
              </w:rPr>
              <w:t xml:space="preserve"> to pay dividends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17,680,000 shares</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ind w:left="-104"/>
              <w:jc w:val="both"/>
              <w:rPr>
                <w:rFonts w:ascii="Arial" w:eastAsia="Arial" w:hAnsi="Arial" w:cs="Arial"/>
                <w:color w:val="010000"/>
                <w:sz w:val="20"/>
                <w:szCs w:val="20"/>
              </w:rPr>
            </w:pPr>
            <w:r w:rsidRPr="00D635EE">
              <w:rPr>
                <w:rFonts w:ascii="Arial" w:hAnsi="Arial" w:cs="Arial"/>
                <w:color w:val="010000"/>
                <w:sz w:val="20"/>
                <w:szCs w:val="20"/>
              </w:rPr>
              <w:lastRenderedPageBreak/>
              <w:t xml:space="preserve">Charter capital after </w:t>
            </w:r>
            <w:r w:rsidR="003A7CF6" w:rsidRPr="00D635EE">
              <w:rPr>
                <w:rFonts w:ascii="Arial" w:hAnsi="Arial" w:cs="Arial"/>
                <w:color w:val="010000"/>
                <w:sz w:val="20"/>
                <w:szCs w:val="20"/>
              </w:rPr>
              <w:t>the share issuance</w:t>
            </w:r>
            <w:r w:rsidRPr="00D635EE">
              <w:rPr>
                <w:rFonts w:ascii="Arial" w:hAnsi="Arial" w:cs="Arial"/>
                <w:color w:val="010000"/>
                <w:sz w:val="20"/>
                <w:szCs w:val="20"/>
              </w:rPr>
              <w:t xml:space="preserve"> to pay dividends (expected)</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VND176,800,000,000</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Plan on handling fractional shares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number of shares distributed for each shareholder will be rounded down to the nearest unit; the fractional shares (if any) will be canceled.</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For example: On the record date, shareholder Nguyen Van A owns 391 shares, the number of shares that Mr. Nguyen Van A receives is calculated according to the rate</w:t>
            </w:r>
            <w:r w:rsidR="002573DC" w:rsidRPr="00D635EE">
              <w:rPr>
                <w:rFonts w:ascii="Arial" w:hAnsi="Arial" w:cs="Arial"/>
                <w:color w:val="010000"/>
                <w:sz w:val="20"/>
                <w:szCs w:val="20"/>
              </w:rPr>
              <w:t xml:space="preserve"> of the issued shares</w:t>
            </w:r>
            <w:r w:rsidRPr="00D635EE">
              <w:rPr>
                <w:rFonts w:ascii="Arial" w:hAnsi="Arial" w:cs="Arial"/>
                <w:color w:val="010000"/>
                <w:sz w:val="20"/>
                <w:szCs w:val="20"/>
              </w:rPr>
              <w:t xml:space="preserve"> </w:t>
            </w:r>
            <w:r w:rsidR="002573DC" w:rsidRPr="00D635EE">
              <w:rPr>
                <w:rFonts w:ascii="Arial" w:hAnsi="Arial" w:cs="Arial"/>
                <w:color w:val="010000"/>
                <w:sz w:val="20"/>
                <w:szCs w:val="20"/>
              </w:rPr>
              <w:t>is</w:t>
            </w:r>
            <w:r w:rsidRPr="00D635EE">
              <w:rPr>
                <w:rFonts w:ascii="Arial" w:hAnsi="Arial" w:cs="Arial"/>
                <w:color w:val="010000"/>
                <w:sz w:val="20"/>
                <w:szCs w:val="20"/>
              </w:rPr>
              <w:t xml:space="preserve"> 391 </w:t>
            </w:r>
            <w:r w:rsidR="002573DC" w:rsidRPr="00D635EE">
              <w:rPr>
                <w:rFonts w:ascii="Arial" w:hAnsi="Arial" w:cs="Arial"/>
                <w:color w:val="010000"/>
                <w:sz w:val="20"/>
                <w:szCs w:val="20"/>
              </w:rPr>
              <w:t>x</w:t>
            </w:r>
            <w:r w:rsidRPr="00D635EE">
              <w:rPr>
                <w:rFonts w:ascii="Arial" w:hAnsi="Arial" w:cs="Arial"/>
                <w:color w:val="010000"/>
                <w:sz w:val="20"/>
                <w:szCs w:val="20"/>
              </w:rPr>
              <w:t xml:space="preserve"> 30% = 117.3 shares. After rounding, the number of shares that Mr. Nguyen Van A receives is 117 shares; 0.3 shares will be canceled</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Adjustment to increase </w:t>
            </w:r>
            <w:r w:rsidR="00702D49" w:rsidRPr="00D635EE">
              <w:rPr>
                <w:rFonts w:ascii="Arial" w:hAnsi="Arial" w:cs="Arial"/>
                <w:color w:val="010000"/>
                <w:sz w:val="20"/>
                <w:szCs w:val="20"/>
              </w:rPr>
              <w:t xml:space="preserve">the </w:t>
            </w:r>
            <w:r w:rsidRPr="00D635EE">
              <w:rPr>
                <w:rFonts w:ascii="Arial" w:hAnsi="Arial" w:cs="Arial"/>
                <w:color w:val="010000"/>
                <w:sz w:val="20"/>
                <w:szCs w:val="20"/>
              </w:rPr>
              <w:t>charter capital</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General Meeting of Shareholders approve</w:t>
            </w:r>
            <w:r w:rsidR="00702D49" w:rsidRPr="00D635EE">
              <w:rPr>
                <w:rFonts w:ascii="Arial" w:hAnsi="Arial" w:cs="Arial"/>
                <w:color w:val="010000"/>
                <w:sz w:val="20"/>
                <w:szCs w:val="20"/>
              </w:rPr>
              <w:t>d</w:t>
            </w:r>
            <w:r w:rsidRPr="00D635EE">
              <w:rPr>
                <w:rFonts w:ascii="Arial" w:hAnsi="Arial" w:cs="Arial"/>
                <w:color w:val="010000"/>
                <w:sz w:val="20"/>
                <w:szCs w:val="20"/>
              </w:rPr>
              <w:t xml:space="preserve"> the adjustment to increase </w:t>
            </w:r>
            <w:r w:rsidR="00702D49" w:rsidRPr="00D635EE">
              <w:rPr>
                <w:rFonts w:ascii="Arial" w:hAnsi="Arial" w:cs="Arial"/>
                <w:color w:val="010000"/>
                <w:sz w:val="20"/>
                <w:szCs w:val="20"/>
              </w:rPr>
              <w:t xml:space="preserve">the </w:t>
            </w:r>
            <w:r w:rsidRPr="00D635EE">
              <w:rPr>
                <w:rFonts w:ascii="Arial" w:hAnsi="Arial" w:cs="Arial"/>
                <w:color w:val="010000"/>
                <w:sz w:val="20"/>
                <w:szCs w:val="20"/>
              </w:rPr>
              <w:t xml:space="preserve">charter capital, amend the charter capital level, the number of outstanding shares and other related contents in the Charter according to the actual charter capital increase after the </w:t>
            </w:r>
            <w:r w:rsidR="00702D49" w:rsidRPr="00D635EE">
              <w:rPr>
                <w:rFonts w:ascii="Arial" w:hAnsi="Arial" w:cs="Arial"/>
                <w:color w:val="010000"/>
                <w:sz w:val="20"/>
                <w:szCs w:val="20"/>
              </w:rPr>
              <w:t>completion</w:t>
            </w:r>
            <w:r w:rsidRPr="00D635EE">
              <w:rPr>
                <w:rFonts w:ascii="Arial" w:hAnsi="Arial" w:cs="Arial"/>
                <w:color w:val="010000"/>
                <w:sz w:val="20"/>
                <w:szCs w:val="20"/>
              </w:rPr>
              <w:t xml:space="preserve"> of the share issuance to pay dividends.</w:t>
            </w:r>
          </w:p>
        </w:tc>
      </w:tr>
      <w:tr w:rsidR="006337D9" w:rsidRPr="00D635EE" w:rsidTr="00C666EE">
        <w:tc>
          <w:tcPr>
            <w:tcW w:w="18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Registration of trading and depository of additional securities:</w:t>
            </w:r>
          </w:p>
        </w:tc>
        <w:tc>
          <w:tcPr>
            <w:tcW w:w="155" w:type="pct"/>
            <w:shd w:val="clear" w:color="auto" w:fill="auto"/>
            <w:vAlign w:val="center"/>
          </w:tcPr>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w:t>
            </w:r>
          </w:p>
        </w:tc>
        <w:tc>
          <w:tcPr>
            <w:tcW w:w="2990" w:type="pct"/>
            <w:shd w:val="clear" w:color="auto" w:fill="auto"/>
            <w:vAlign w:val="center"/>
          </w:tcPr>
          <w:p w:rsidR="006337D9" w:rsidRPr="00D635EE" w:rsidRDefault="00C666EE" w:rsidP="00D635EE">
            <w:pPr>
              <w:pBdr>
                <w:top w:val="nil"/>
                <w:left w:val="nil"/>
                <w:bottom w:val="nil"/>
                <w:right w:val="nil"/>
                <w:between w:val="nil"/>
              </w:pBdr>
              <w:tabs>
                <w:tab w:val="left" w:pos="432"/>
                <w:tab w:val="left" w:pos="3427"/>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General Meeting of Shareholders approve</w:t>
            </w:r>
            <w:r w:rsidR="00ED1084" w:rsidRPr="00D635EE">
              <w:rPr>
                <w:rFonts w:ascii="Arial" w:hAnsi="Arial" w:cs="Arial"/>
                <w:color w:val="010000"/>
                <w:sz w:val="20"/>
                <w:szCs w:val="20"/>
              </w:rPr>
              <w:t>d</w:t>
            </w:r>
            <w:r w:rsidRPr="00D635EE">
              <w:rPr>
                <w:rFonts w:ascii="Arial" w:hAnsi="Arial" w:cs="Arial"/>
                <w:color w:val="010000"/>
                <w:sz w:val="20"/>
                <w:szCs w:val="20"/>
              </w:rPr>
              <w:t xml:space="preserve"> the registration and depository of additional securities at the Vietnam Securities Depository and Clearing Corporation and the registration of trading on the </w:t>
            </w:r>
            <w:proofErr w:type="spellStart"/>
            <w:r w:rsidRPr="00D635EE">
              <w:rPr>
                <w:rFonts w:ascii="Arial" w:hAnsi="Arial" w:cs="Arial"/>
                <w:color w:val="010000"/>
                <w:sz w:val="20"/>
                <w:szCs w:val="20"/>
              </w:rPr>
              <w:t>UPCoM</w:t>
            </w:r>
            <w:proofErr w:type="spellEnd"/>
            <w:r w:rsidRPr="00D635EE">
              <w:rPr>
                <w:rFonts w:ascii="Arial" w:hAnsi="Arial" w:cs="Arial"/>
                <w:color w:val="010000"/>
                <w:sz w:val="20"/>
                <w:szCs w:val="20"/>
              </w:rPr>
              <w:t xml:space="preserve"> for all </w:t>
            </w:r>
            <w:r w:rsidR="005F30C7" w:rsidRPr="00D635EE">
              <w:rPr>
                <w:rFonts w:ascii="Arial" w:hAnsi="Arial" w:cs="Arial"/>
                <w:color w:val="010000"/>
                <w:sz w:val="20"/>
                <w:szCs w:val="20"/>
              </w:rPr>
              <w:t xml:space="preserve">issued </w:t>
            </w:r>
            <w:r w:rsidRPr="00D635EE">
              <w:rPr>
                <w:rFonts w:ascii="Arial" w:hAnsi="Arial" w:cs="Arial"/>
                <w:color w:val="010000"/>
                <w:sz w:val="20"/>
                <w:szCs w:val="20"/>
              </w:rPr>
              <w:t>shares after completing the dividend payment.</w:t>
            </w:r>
          </w:p>
        </w:tc>
      </w:tr>
    </w:tbl>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General Meeting of Shareholders approve</w:t>
      </w:r>
      <w:r w:rsidR="0099732F" w:rsidRPr="00D635EE">
        <w:rPr>
          <w:rFonts w:ascii="Arial" w:hAnsi="Arial" w:cs="Arial"/>
          <w:color w:val="010000"/>
          <w:sz w:val="20"/>
          <w:szCs w:val="20"/>
        </w:rPr>
        <w:t>d</w:t>
      </w:r>
      <w:r w:rsidRPr="00D635EE">
        <w:rPr>
          <w:rFonts w:ascii="Arial" w:hAnsi="Arial" w:cs="Arial"/>
          <w:color w:val="010000"/>
          <w:sz w:val="20"/>
          <w:szCs w:val="20"/>
        </w:rPr>
        <w:t xml:space="preserve"> on authorizing the Board of Directors to </w:t>
      </w:r>
      <w:r w:rsidR="0099732F" w:rsidRPr="00D635EE">
        <w:rPr>
          <w:rFonts w:ascii="Arial" w:hAnsi="Arial" w:cs="Arial"/>
          <w:color w:val="010000"/>
          <w:sz w:val="20"/>
          <w:szCs w:val="20"/>
        </w:rPr>
        <w:t>implement</w:t>
      </w:r>
      <w:r w:rsidRPr="00D635EE">
        <w:rPr>
          <w:rFonts w:ascii="Arial" w:hAnsi="Arial" w:cs="Arial"/>
          <w:color w:val="010000"/>
          <w:sz w:val="20"/>
          <w:szCs w:val="20"/>
        </w:rPr>
        <w:t xml:space="preserve"> related tasks, including but not limited to the following contents:</w:t>
      </w:r>
    </w:p>
    <w:p w:rsidR="006337D9" w:rsidRPr="00D635EE" w:rsidRDefault="00C666EE" w:rsidP="00D635E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35EE">
        <w:rPr>
          <w:rFonts w:ascii="Arial" w:hAnsi="Arial" w:cs="Arial"/>
          <w:color w:val="010000"/>
          <w:sz w:val="20"/>
          <w:szCs w:val="20"/>
        </w:rPr>
        <w:t>Based on the actual situation, choose the appropriate time to record the list of existing shareholders to exercise the right to receive dividends</w:t>
      </w:r>
    </w:p>
    <w:p w:rsidR="006337D9" w:rsidRPr="00D635EE" w:rsidRDefault="00C666EE" w:rsidP="00D635E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35EE">
        <w:rPr>
          <w:rFonts w:ascii="Arial" w:hAnsi="Arial" w:cs="Arial"/>
          <w:color w:val="010000"/>
          <w:sz w:val="20"/>
          <w:szCs w:val="20"/>
        </w:rPr>
        <w:t xml:space="preserve">Amend and supplement the dividend payment plan in detail if necessary to comply with legal regulations; amend and supplement the Company’s Charter and change the </w:t>
      </w:r>
      <w:r w:rsidR="00653C80" w:rsidRPr="00D635EE">
        <w:rPr>
          <w:rFonts w:ascii="Arial" w:hAnsi="Arial" w:cs="Arial"/>
          <w:color w:val="010000"/>
          <w:sz w:val="20"/>
          <w:szCs w:val="20"/>
        </w:rPr>
        <w:t>b</w:t>
      </w:r>
      <w:r w:rsidRPr="00D635EE">
        <w:rPr>
          <w:rFonts w:ascii="Arial" w:hAnsi="Arial" w:cs="Arial"/>
          <w:color w:val="010000"/>
          <w:sz w:val="20"/>
          <w:szCs w:val="20"/>
        </w:rPr>
        <w:t xml:space="preserve">usiness </w:t>
      </w:r>
      <w:r w:rsidR="00653C80" w:rsidRPr="00D635EE">
        <w:rPr>
          <w:rFonts w:ascii="Arial" w:hAnsi="Arial" w:cs="Arial"/>
          <w:color w:val="010000"/>
          <w:sz w:val="20"/>
          <w:szCs w:val="20"/>
        </w:rPr>
        <w:t>r</w:t>
      </w:r>
      <w:r w:rsidRPr="00D635EE">
        <w:rPr>
          <w:rFonts w:ascii="Arial" w:hAnsi="Arial" w:cs="Arial"/>
          <w:color w:val="010000"/>
          <w:sz w:val="20"/>
          <w:szCs w:val="20"/>
        </w:rPr>
        <w:t xml:space="preserve">egistration </w:t>
      </w:r>
      <w:r w:rsidR="0099732F" w:rsidRPr="00D635EE">
        <w:rPr>
          <w:rFonts w:ascii="Arial" w:hAnsi="Arial" w:cs="Arial"/>
          <w:color w:val="010000"/>
          <w:sz w:val="20"/>
          <w:szCs w:val="20"/>
        </w:rPr>
        <w:t xml:space="preserve">of the Company </w:t>
      </w:r>
      <w:r w:rsidRPr="00D635EE">
        <w:rPr>
          <w:rFonts w:ascii="Arial" w:hAnsi="Arial" w:cs="Arial"/>
          <w:color w:val="010000"/>
          <w:sz w:val="20"/>
          <w:szCs w:val="20"/>
        </w:rPr>
        <w:t xml:space="preserve">to record the charter capital according to the actual results of the </w:t>
      </w:r>
      <w:r w:rsidR="0099732F" w:rsidRPr="00D635EE">
        <w:rPr>
          <w:rFonts w:ascii="Arial" w:hAnsi="Arial" w:cs="Arial"/>
          <w:color w:val="010000"/>
          <w:sz w:val="20"/>
          <w:szCs w:val="20"/>
        </w:rPr>
        <w:t>share</w:t>
      </w:r>
      <w:r w:rsidRPr="00D635EE">
        <w:rPr>
          <w:rFonts w:ascii="Arial" w:hAnsi="Arial" w:cs="Arial"/>
          <w:color w:val="010000"/>
          <w:sz w:val="20"/>
          <w:szCs w:val="20"/>
        </w:rPr>
        <w:t xml:space="preserve"> issuance</w:t>
      </w:r>
      <w:r w:rsidR="0099732F" w:rsidRPr="00D635EE">
        <w:rPr>
          <w:rFonts w:ascii="Arial" w:hAnsi="Arial" w:cs="Arial"/>
          <w:color w:val="010000"/>
          <w:sz w:val="20"/>
          <w:szCs w:val="20"/>
        </w:rPr>
        <w:t xml:space="preserve"> to pay dividends.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Article 4: Approve the increase in</w:t>
      </w:r>
      <w:r w:rsidR="00332E92" w:rsidRPr="00D635EE">
        <w:rPr>
          <w:rFonts w:ascii="Arial" w:hAnsi="Arial" w:cs="Arial"/>
          <w:color w:val="010000"/>
          <w:sz w:val="20"/>
          <w:szCs w:val="20"/>
        </w:rPr>
        <w:t xml:space="preserve"> the</w:t>
      </w:r>
      <w:r w:rsidRPr="00D635EE">
        <w:rPr>
          <w:rFonts w:ascii="Arial" w:hAnsi="Arial" w:cs="Arial"/>
          <w:color w:val="010000"/>
          <w:sz w:val="20"/>
          <w:szCs w:val="20"/>
        </w:rPr>
        <w:t xml:space="preserve"> charter capital, </w:t>
      </w:r>
      <w:r w:rsidR="001B74D3" w:rsidRPr="00D635EE">
        <w:rPr>
          <w:rFonts w:ascii="Arial" w:hAnsi="Arial" w:cs="Arial"/>
          <w:color w:val="010000"/>
          <w:sz w:val="20"/>
          <w:szCs w:val="20"/>
        </w:rPr>
        <w:t xml:space="preserve">the </w:t>
      </w:r>
      <w:r w:rsidRPr="00D635EE">
        <w:rPr>
          <w:rFonts w:ascii="Arial" w:hAnsi="Arial" w:cs="Arial"/>
          <w:color w:val="010000"/>
          <w:sz w:val="20"/>
          <w:szCs w:val="20"/>
        </w:rPr>
        <w:t>amend</w:t>
      </w:r>
      <w:r w:rsidR="001B74D3" w:rsidRPr="00D635EE">
        <w:rPr>
          <w:rFonts w:ascii="Arial" w:hAnsi="Arial" w:cs="Arial"/>
          <w:color w:val="010000"/>
          <w:sz w:val="20"/>
          <w:szCs w:val="20"/>
        </w:rPr>
        <w:t>ment in</w:t>
      </w:r>
      <w:r w:rsidRPr="00D635EE">
        <w:rPr>
          <w:rFonts w:ascii="Arial" w:hAnsi="Arial" w:cs="Arial"/>
          <w:color w:val="010000"/>
          <w:sz w:val="20"/>
          <w:szCs w:val="20"/>
        </w:rPr>
        <w:t xml:space="preserve"> the charter capital level, the number of outstanding shares and other related contents in the Charter according to the actual capital increase and authorize the Board of Directors to increase the charter capital after the </w:t>
      </w:r>
      <w:r w:rsidR="00332E92" w:rsidRPr="00D635EE">
        <w:rPr>
          <w:rFonts w:ascii="Arial" w:hAnsi="Arial" w:cs="Arial"/>
          <w:color w:val="010000"/>
          <w:sz w:val="20"/>
          <w:szCs w:val="20"/>
        </w:rPr>
        <w:t>completion</w:t>
      </w:r>
      <w:r w:rsidRPr="00D635EE">
        <w:rPr>
          <w:rFonts w:ascii="Arial" w:hAnsi="Arial" w:cs="Arial"/>
          <w:color w:val="010000"/>
          <w:sz w:val="20"/>
          <w:szCs w:val="20"/>
        </w:rPr>
        <w:t xml:space="preserve"> of the share issuance to pay dividends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General Meeting of Shareholders approve</w:t>
      </w:r>
      <w:r w:rsidR="0055493F" w:rsidRPr="00D635EE">
        <w:rPr>
          <w:rFonts w:ascii="Arial" w:hAnsi="Arial" w:cs="Arial"/>
          <w:color w:val="010000"/>
          <w:sz w:val="20"/>
          <w:szCs w:val="20"/>
        </w:rPr>
        <w:t>d</w:t>
      </w:r>
      <w:r w:rsidRPr="00D635EE">
        <w:rPr>
          <w:rFonts w:ascii="Arial" w:hAnsi="Arial" w:cs="Arial"/>
          <w:color w:val="010000"/>
          <w:sz w:val="20"/>
          <w:szCs w:val="20"/>
        </w:rPr>
        <w:t xml:space="preserve"> the increase in </w:t>
      </w:r>
      <w:r w:rsidR="001B74D3" w:rsidRPr="00D635EE">
        <w:rPr>
          <w:rFonts w:ascii="Arial" w:hAnsi="Arial" w:cs="Arial"/>
          <w:color w:val="010000"/>
          <w:sz w:val="20"/>
          <w:szCs w:val="20"/>
        </w:rPr>
        <w:t xml:space="preserve">the </w:t>
      </w:r>
      <w:r w:rsidRPr="00D635EE">
        <w:rPr>
          <w:rFonts w:ascii="Arial" w:hAnsi="Arial" w:cs="Arial"/>
          <w:color w:val="010000"/>
          <w:sz w:val="20"/>
          <w:szCs w:val="20"/>
        </w:rPr>
        <w:t xml:space="preserve">charter capital, </w:t>
      </w:r>
      <w:r w:rsidR="001B74D3" w:rsidRPr="00D635EE">
        <w:rPr>
          <w:rFonts w:ascii="Arial" w:hAnsi="Arial" w:cs="Arial"/>
          <w:color w:val="010000"/>
          <w:sz w:val="20"/>
          <w:szCs w:val="20"/>
        </w:rPr>
        <w:t>the amendment in</w:t>
      </w:r>
      <w:r w:rsidRPr="00D635EE">
        <w:rPr>
          <w:rFonts w:ascii="Arial" w:hAnsi="Arial" w:cs="Arial"/>
          <w:color w:val="010000"/>
          <w:sz w:val="20"/>
          <w:szCs w:val="20"/>
        </w:rPr>
        <w:t xml:space="preserve"> the charter capital level, the number of outstanding shares and other related contents in the Charter according to the actual results of the charter capital increase after the </w:t>
      </w:r>
      <w:r w:rsidR="001B74D3" w:rsidRPr="00D635EE">
        <w:rPr>
          <w:rFonts w:ascii="Arial" w:hAnsi="Arial" w:cs="Arial"/>
          <w:color w:val="010000"/>
          <w:sz w:val="20"/>
          <w:szCs w:val="20"/>
        </w:rPr>
        <w:t>completion</w:t>
      </w:r>
      <w:r w:rsidRPr="00D635EE">
        <w:rPr>
          <w:rFonts w:ascii="Arial" w:hAnsi="Arial" w:cs="Arial"/>
          <w:color w:val="010000"/>
          <w:sz w:val="20"/>
          <w:szCs w:val="20"/>
        </w:rPr>
        <w:t xml:space="preserve"> of the share issuance </w:t>
      </w:r>
      <w:r w:rsidRPr="00D635EE">
        <w:rPr>
          <w:rFonts w:ascii="Arial" w:hAnsi="Arial" w:cs="Arial"/>
          <w:color w:val="010000"/>
          <w:sz w:val="20"/>
          <w:szCs w:val="20"/>
        </w:rPr>
        <w:lastRenderedPageBreak/>
        <w:t>to pay dividends.</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The General Meeting of Shareholders approved on authorizing the Board of Directors to decide and </w:t>
      </w:r>
      <w:r w:rsidR="00653C80" w:rsidRPr="00D635EE">
        <w:rPr>
          <w:rFonts w:ascii="Arial" w:hAnsi="Arial" w:cs="Arial"/>
          <w:color w:val="010000"/>
          <w:sz w:val="20"/>
          <w:szCs w:val="20"/>
        </w:rPr>
        <w:t>implement</w:t>
      </w:r>
      <w:r w:rsidRPr="00D635EE">
        <w:rPr>
          <w:rFonts w:ascii="Arial" w:hAnsi="Arial" w:cs="Arial"/>
          <w:color w:val="010000"/>
          <w:sz w:val="20"/>
          <w:szCs w:val="20"/>
        </w:rPr>
        <w:t xml:space="preserve"> procedures to change the contents of the business registration (including </w:t>
      </w:r>
      <w:r w:rsidR="007E76CF" w:rsidRPr="00D635EE">
        <w:rPr>
          <w:rFonts w:ascii="Arial" w:hAnsi="Arial" w:cs="Arial"/>
          <w:color w:val="010000"/>
          <w:sz w:val="20"/>
          <w:szCs w:val="20"/>
        </w:rPr>
        <w:t>implementing</w:t>
      </w:r>
      <w:r w:rsidRPr="00D635EE">
        <w:rPr>
          <w:rFonts w:ascii="Arial" w:hAnsi="Arial" w:cs="Arial"/>
          <w:color w:val="010000"/>
          <w:sz w:val="20"/>
          <w:szCs w:val="20"/>
        </w:rPr>
        <w:t xml:space="preserve"> procedures to register for an increase in </w:t>
      </w:r>
      <w:r w:rsidR="007E76CF" w:rsidRPr="00D635EE">
        <w:rPr>
          <w:rFonts w:ascii="Arial" w:hAnsi="Arial" w:cs="Arial"/>
          <w:color w:val="010000"/>
          <w:sz w:val="20"/>
          <w:szCs w:val="20"/>
        </w:rPr>
        <w:t xml:space="preserve">the </w:t>
      </w:r>
      <w:r w:rsidRPr="00D635EE">
        <w:rPr>
          <w:rFonts w:ascii="Arial" w:hAnsi="Arial" w:cs="Arial"/>
          <w:color w:val="010000"/>
          <w:sz w:val="20"/>
          <w:szCs w:val="20"/>
        </w:rPr>
        <w:t xml:space="preserve">charter capital after the </w:t>
      </w:r>
      <w:r w:rsidR="007E76CF" w:rsidRPr="00D635EE">
        <w:rPr>
          <w:rFonts w:ascii="Arial" w:hAnsi="Arial" w:cs="Arial"/>
          <w:color w:val="010000"/>
          <w:sz w:val="20"/>
          <w:szCs w:val="20"/>
        </w:rPr>
        <w:t>completion</w:t>
      </w:r>
      <w:r w:rsidRPr="00D635EE">
        <w:rPr>
          <w:rFonts w:ascii="Arial" w:hAnsi="Arial" w:cs="Arial"/>
          <w:color w:val="010000"/>
          <w:sz w:val="20"/>
          <w:szCs w:val="20"/>
        </w:rPr>
        <w:t xml:space="preserve"> of the issuance) and sign the necessary </w:t>
      </w:r>
      <w:r w:rsidR="007E76CF" w:rsidRPr="00D635EE">
        <w:rPr>
          <w:rFonts w:ascii="Arial" w:hAnsi="Arial" w:cs="Arial"/>
          <w:color w:val="010000"/>
          <w:sz w:val="20"/>
          <w:szCs w:val="20"/>
        </w:rPr>
        <w:t>dossiers</w:t>
      </w:r>
      <w:r w:rsidRPr="00D635EE">
        <w:rPr>
          <w:rFonts w:ascii="Arial" w:hAnsi="Arial" w:cs="Arial"/>
          <w:color w:val="010000"/>
          <w:sz w:val="20"/>
          <w:szCs w:val="20"/>
        </w:rPr>
        <w:t xml:space="preserve"> related to the adjustment of the increase in charter capital on the Business Registration </w:t>
      </w:r>
      <w:r w:rsidR="007E76CF" w:rsidRPr="00D635EE">
        <w:rPr>
          <w:rFonts w:ascii="Arial" w:hAnsi="Arial" w:cs="Arial"/>
          <w:color w:val="010000"/>
          <w:sz w:val="20"/>
          <w:szCs w:val="20"/>
        </w:rPr>
        <w:t xml:space="preserve">Certificate </w:t>
      </w:r>
      <w:r w:rsidRPr="00D635EE">
        <w:rPr>
          <w:rFonts w:ascii="Arial" w:hAnsi="Arial" w:cs="Arial"/>
          <w:color w:val="010000"/>
          <w:sz w:val="20"/>
          <w:szCs w:val="20"/>
        </w:rPr>
        <w:t xml:space="preserve">at the competent state agency; amend the charter capital level, the number of outstanding shares and other related contents in the Company's Charter according to the new actual charter capital results after the issuance and other procedures/work related to the above increase in </w:t>
      </w:r>
      <w:r w:rsidR="00C27418" w:rsidRPr="00D635EE">
        <w:rPr>
          <w:rFonts w:ascii="Arial" w:hAnsi="Arial" w:cs="Arial"/>
          <w:color w:val="010000"/>
          <w:sz w:val="20"/>
          <w:szCs w:val="20"/>
        </w:rPr>
        <w:t xml:space="preserve">the </w:t>
      </w:r>
      <w:r w:rsidRPr="00D635EE">
        <w:rPr>
          <w:rFonts w:ascii="Arial" w:hAnsi="Arial" w:cs="Arial"/>
          <w:color w:val="010000"/>
          <w:sz w:val="20"/>
          <w:szCs w:val="20"/>
        </w:rPr>
        <w:t>charter capital with competent state agencies and related units.</w:t>
      </w:r>
      <w:r w:rsidR="007E76CF" w:rsidRPr="00D635EE">
        <w:rPr>
          <w:rFonts w:ascii="Arial" w:hAnsi="Arial" w:cs="Arial"/>
          <w:color w:val="010000"/>
          <w:sz w:val="20"/>
          <w:szCs w:val="20"/>
        </w:rPr>
        <w:t xml:space="preserve"> </w:t>
      </w:r>
    </w:p>
    <w:p w:rsidR="006337D9" w:rsidRPr="00D635EE" w:rsidRDefault="00C666EE" w:rsidP="00D635E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D635EE">
        <w:rPr>
          <w:rFonts w:ascii="Arial" w:hAnsi="Arial" w:cs="Arial"/>
          <w:color w:val="010000"/>
          <w:sz w:val="20"/>
          <w:szCs w:val="20"/>
        </w:rPr>
        <w:t>Implementing unit</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The Board of Directors of Europe Viet</w:t>
      </w:r>
      <w:r w:rsidR="007E76CF" w:rsidRPr="00D635EE">
        <w:rPr>
          <w:rFonts w:ascii="Arial" w:hAnsi="Arial" w:cs="Arial"/>
          <w:color w:val="010000"/>
          <w:sz w:val="20"/>
          <w:szCs w:val="20"/>
        </w:rPr>
        <w:t>n</w:t>
      </w:r>
      <w:r w:rsidRPr="00D635EE">
        <w:rPr>
          <w:rFonts w:ascii="Arial" w:hAnsi="Arial" w:cs="Arial"/>
          <w:color w:val="010000"/>
          <w:sz w:val="20"/>
          <w:szCs w:val="20"/>
        </w:rPr>
        <w:t>am International Fertilizer Joint Stock Company, the Board of Management and related departments/divisions/units are responsible for implementing this General Mandate, ensuring the interests of shareholders, the Company and complying with the provisions of the Law.</w:t>
      </w:r>
    </w:p>
    <w:p w:rsidR="006337D9" w:rsidRPr="00D635EE" w:rsidRDefault="00C666EE" w:rsidP="00D635E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35EE">
        <w:rPr>
          <w:rFonts w:ascii="Arial" w:hAnsi="Arial" w:cs="Arial"/>
          <w:color w:val="010000"/>
          <w:sz w:val="20"/>
          <w:szCs w:val="20"/>
        </w:rPr>
        <w:t xml:space="preserve">This General Mandate </w:t>
      </w:r>
      <w:r w:rsidR="00456012" w:rsidRPr="00D635EE">
        <w:rPr>
          <w:rFonts w:ascii="Arial" w:hAnsi="Arial" w:cs="Arial"/>
          <w:color w:val="010000"/>
          <w:sz w:val="20"/>
          <w:szCs w:val="20"/>
        </w:rPr>
        <w:t>was</w:t>
      </w:r>
      <w:r w:rsidRPr="00D635EE">
        <w:rPr>
          <w:rFonts w:ascii="Arial" w:hAnsi="Arial" w:cs="Arial"/>
          <w:color w:val="010000"/>
          <w:sz w:val="20"/>
          <w:szCs w:val="20"/>
        </w:rPr>
        <w:t xml:space="preserve"> approved by the General Meeting of Shareholders and takes effect from October 01, 2024.</w:t>
      </w:r>
    </w:p>
    <w:sectPr w:rsidR="006337D9" w:rsidRPr="00D635EE" w:rsidSect="00C666E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42AF"/>
    <w:multiLevelType w:val="multilevel"/>
    <w:tmpl w:val="297869B0"/>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4A499E"/>
    <w:multiLevelType w:val="hybridMultilevel"/>
    <w:tmpl w:val="298A05C6"/>
    <w:lvl w:ilvl="0" w:tplc="F9CCBD20">
      <w:numFmt w:val="bullet"/>
      <w:lvlText w:val="-"/>
      <w:lvlJc w:val="left"/>
      <w:pPr>
        <w:ind w:left="256" w:hanging="360"/>
      </w:pPr>
      <w:rPr>
        <w:rFonts w:ascii="Arial" w:eastAsia="Courier New" w:hAnsi="Arial" w:cs="Aria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2">
    <w:nsid w:val="6CA66501"/>
    <w:multiLevelType w:val="multilevel"/>
    <w:tmpl w:val="65248EF8"/>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9"/>
    <w:rsid w:val="000E3C82"/>
    <w:rsid w:val="001B74D3"/>
    <w:rsid w:val="002573DC"/>
    <w:rsid w:val="00332E92"/>
    <w:rsid w:val="0039363D"/>
    <w:rsid w:val="003A7CF6"/>
    <w:rsid w:val="00456012"/>
    <w:rsid w:val="004B1787"/>
    <w:rsid w:val="004B4B8E"/>
    <w:rsid w:val="0055493F"/>
    <w:rsid w:val="0057789F"/>
    <w:rsid w:val="005F30C7"/>
    <w:rsid w:val="006141B1"/>
    <w:rsid w:val="006337D9"/>
    <w:rsid w:val="00653C80"/>
    <w:rsid w:val="00702D49"/>
    <w:rsid w:val="007E76CF"/>
    <w:rsid w:val="00801624"/>
    <w:rsid w:val="00923369"/>
    <w:rsid w:val="0099732F"/>
    <w:rsid w:val="00A128E3"/>
    <w:rsid w:val="00A632F0"/>
    <w:rsid w:val="00B7353F"/>
    <w:rsid w:val="00BB634F"/>
    <w:rsid w:val="00BB714A"/>
    <w:rsid w:val="00C27418"/>
    <w:rsid w:val="00C666EE"/>
    <w:rsid w:val="00C67ECB"/>
    <w:rsid w:val="00CD2968"/>
    <w:rsid w:val="00D635EE"/>
    <w:rsid w:val="00E70917"/>
    <w:rsid w:val="00ED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EBAE1-C5AE-42C4-8B88-838B6F53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F88896"/>
      <w:sz w:val="14"/>
      <w:szCs w:val="14"/>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F88896"/>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338" w:lineRule="auto"/>
    </w:pPr>
    <w:rPr>
      <w:rFonts w:ascii="Times New Roman" w:eastAsia="Times New Roman" w:hAnsi="Times New Roman" w:cs="Times New Roman"/>
      <w:sz w:val="22"/>
      <w:szCs w:val="22"/>
    </w:rPr>
  </w:style>
  <w:style w:type="paragraph" w:customStyle="1" w:styleId="Vnbnnidung20">
    <w:name w:val="Văn bản nội dung (2)"/>
    <w:basedOn w:val="Normal"/>
    <w:link w:val="Vnbnnidung2"/>
    <w:pPr>
      <w:spacing w:line="293" w:lineRule="auto"/>
    </w:pPr>
    <w:rPr>
      <w:rFonts w:ascii="Arial" w:eastAsia="Arial" w:hAnsi="Arial" w:cs="Arial"/>
      <w:b/>
      <w:bCs/>
      <w:color w:val="F88896"/>
      <w:sz w:val="14"/>
      <w:szCs w:val="14"/>
    </w:rPr>
  </w:style>
  <w:style w:type="paragraph" w:customStyle="1" w:styleId="Vnbnnidung30">
    <w:name w:val="Văn bản nội dung (3)"/>
    <w:basedOn w:val="Normal"/>
    <w:link w:val="Vnbnnidung3"/>
    <w:pPr>
      <w:spacing w:line="262" w:lineRule="auto"/>
    </w:pPr>
    <w:rPr>
      <w:rFonts w:ascii="Arial" w:eastAsia="Arial" w:hAnsi="Arial" w:cs="Arial"/>
      <w:b/>
      <w:bCs/>
      <w:color w:val="F88896"/>
      <w:sz w:val="20"/>
      <w:szCs w:val="20"/>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6"/>
      <w:szCs w:val="36"/>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30"/>
      <w:szCs w:val="30"/>
    </w:rPr>
  </w:style>
  <w:style w:type="table" w:styleId="TableGrid">
    <w:name w:val="Table Grid"/>
    <w:basedOn w:val="TableNormal"/>
    <w:uiPriority w:val="39"/>
    <w:rsid w:val="00E6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01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cOlAF6k1GWI7mySmMwD+ZhIng==">CgMxLjA4AHIhMUdTblJkYWx0QXdJeVM1dHNacXNNaGJ2blFFa0hkNndR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910</Words>
  <Characters>5041</Characters>
  <Application>Microsoft Office Word</Application>
  <DocSecurity>0</DocSecurity>
  <Lines>117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34</cp:revision>
  <dcterms:created xsi:type="dcterms:W3CDTF">2024-10-04T03:32:00Z</dcterms:created>
  <dcterms:modified xsi:type="dcterms:W3CDTF">2024-10-08T02:27:00Z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64581220a2da2d02c5878c9e14c7dac9db2f326bf91a29b80b2009c6d58a157f</vt:lpwstr>
  </property>
</Properties>
</file>