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24878" w14:textId="34DF6227" w:rsidR="00760ACA" w:rsidRPr="00ED47F2" w:rsidRDefault="00760ACA" w:rsidP="00F643C6">
      <w:pPr>
        <w:pStyle w:val="BodyText"/>
        <w:tabs>
          <w:tab w:val="left" w:pos="432"/>
        </w:tabs>
        <w:spacing w:after="120" w:line="360" w:lineRule="auto"/>
        <w:jc w:val="both"/>
        <w:rPr>
          <w:rStyle w:val="BodyTextChar"/>
          <w:rFonts w:ascii="Arial" w:hAnsi="Arial" w:cs="Arial"/>
          <w:b/>
          <w:bCs/>
          <w:color w:val="010000"/>
          <w:sz w:val="20"/>
        </w:rPr>
      </w:pPr>
      <w:r w:rsidRPr="00ED47F2">
        <w:rPr>
          <w:rStyle w:val="BodyTextChar"/>
          <w:rFonts w:ascii="Arial" w:hAnsi="Arial" w:cs="Arial"/>
          <w:b/>
          <w:bCs/>
          <w:color w:val="010000"/>
          <w:sz w:val="20"/>
        </w:rPr>
        <w:t>TV3:</w:t>
      </w:r>
      <w:r w:rsidRPr="00ED47F2">
        <w:rPr>
          <w:rStyle w:val="BodyTextChar"/>
          <w:rFonts w:ascii="Arial" w:hAnsi="Arial" w:cs="Arial"/>
          <w:b/>
          <w:color w:val="010000"/>
          <w:sz w:val="20"/>
        </w:rPr>
        <w:t xml:space="preserve"> Board Resolution</w:t>
      </w:r>
      <w:r w:rsidR="00341609">
        <w:rPr>
          <w:rStyle w:val="BodyTextChar"/>
          <w:rFonts w:ascii="Arial" w:hAnsi="Arial" w:cs="Arial"/>
          <w:b/>
          <w:color w:val="010000"/>
          <w:sz w:val="20"/>
        </w:rPr>
        <w:t>s</w:t>
      </w:r>
      <w:bookmarkStart w:id="0" w:name="_GoBack"/>
      <w:bookmarkEnd w:id="0"/>
    </w:p>
    <w:p w14:paraId="0966C6BA" w14:textId="317BF87E" w:rsidR="00760ACA" w:rsidRPr="00ED47F2" w:rsidRDefault="00760ACA" w:rsidP="00F643C6">
      <w:pPr>
        <w:pStyle w:val="BodyText"/>
        <w:tabs>
          <w:tab w:val="left" w:pos="432"/>
        </w:tabs>
        <w:spacing w:after="120" w:line="360" w:lineRule="auto"/>
        <w:jc w:val="both"/>
        <w:rPr>
          <w:rStyle w:val="BodyTextChar"/>
          <w:rFonts w:ascii="Arial" w:hAnsi="Arial" w:cs="Arial"/>
          <w:bCs/>
          <w:color w:val="010000"/>
          <w:sz w:val="20"/>
        </w:rPr>
      </w:pPr>
      <w:r w:rsidRPr="00ED47F2">
        <w:rPr>
          <w:rStyle w:val="BodyTextChar"/>
          <w:rFonts w:ascii="Arial" w:hAnsi="Arial" w:cs="Arial"/>
          <w:color w:val="010000"/>
          <w:sz w:val="20"/>
        </w:rPr>
        <w:t xml:space="preserve">On October 3, 2024, Power Engineering Consulting Joint Stock Company 3 announced Resolution </w:t>
      </w:r>
      <w:r w:rsidR="00ED47F2" w:rsidRPr="00ED47F2">
        <w:rPr>
          <w:rStyle w:val="BodyTextChar"/>
          <w:rFonts w:ascii="Arial" w:hAnsi="Arial" w:cs="Arial"/>
          <w:color w:val="010000"/>
          <w:sz w:val="20"/>
        </w:rPr>
        <w:t xml:space="preserve">No. </w:t>
      </w:r>
      <w:r w:rsidRPr="00ED47F2">
        <w:rPr>
          <w:rStyle w:val="BodyTextChar"/>
          <w:rFonts w:ascii="Arial" w:hAnsi="Arial" w:cs="Arial"/>
          <w:color w:val="010000"/>
          <w:sz w:val="20"/>
        </w:rPr>
        <w:t>235/NQ-HDQT - TVD3 as follows:</w:t>
      </w:r>
    </w:p>
    <w:p w14:paraId="7B91912A" w14:textId="77777777" w:rsidR="00760ACA" w:rsidRPr="00ED47F2" w:rsidRDefault="00760ACA" w:rsidP="00F643C6">
      <w:pPr>
        <w:pStyle w:val="Bodytext20"/>
        <w:tabs>
          <w:tab w:val="left" w:pos="432"/>
        </w:tabs>
        <w:spacing w:after="120" w:line="360" w:lineRule="auto"/>
        <w:ind w:left="0"/>
        <w:jc w:val="both"/>
        <w:rPr>
          <w:rStyle w:val="BodyTextChar"/>
          <w:rFonts w:ascii="Arial" w:hAnsi="Arial" w:cs="Arial"/>
          <w:bCs/>
          <w:color w:val="010000"/>
          <w:sz w:val="20"/>
        </w:rPr>
      </w:pPr>
      <w:r w:rsidRPr="00ED47F2">
        <w:rPr>
          <w:rStyle w:val="BodyTextChar"/>
          <w:rFonts w:ascii="Arial" w:hAnsi="Arial" w:cs="Arial"/>
          <w:color w:val="010000"/>
          <w:sz w:val="20"/>
        </w:rPr>
        <w:t xml:space="preserve">‎‎Article 1. Pay dividends in 2023 in cash with specific contents as follows: </w:t>
      </w:r>
    </w:p>
    <w:p w14:paraId="623FBCEE" w14:textId="77777777" w:rsidR="00760ACA" w:rsidRPr="00ED47F2" w:rsidRDefault="00760ACA" w:rsidP="00F643C6">
      <w:pPr>
        <w:pStyle w:val="Bodytext20"/>
        <w:numPr>
          <w:ilvl w:val="0"/>
          <w:numId w:val="3"/>
        </w:numPr>
        <w:tabs>
          <w:tab w:val="left" w:pos="432"/>
        </w:tabs>
        <w:spacing w:after="120" w:line="360" w:lineRule="auto"/>
        <w:ind w:left="0" w:firstLine="0"/>
        <w:jc w:val="both"/>
        <w:rPr>
          <w:rStyle w:val="BodyTextChar"/>
          <w:rFonts w:ascii="Arial" w:hAnsi="Arial" w:cs="Arial"/>
          <w:bCs/>
          <w:color w:val="010000"/>
          <w:sz w:val="20"/>
        </w:rPr>
      </w:pPr>
      <w:r w:rsidRPr="00ED47F2">
        <w:rPr>
          <w:rStyle w:val="BodyTextChar"/>
          <w:rFonts w:ascii="Arial" w:hAnsi="Arial" w:cs="Arial"/>
          <w:color w:val="010000"/>
          <w:sz w:val="20"/>
        </w:rPr>
        <w:t xml:space="preserve">Record date to receive dividends: November 8, 2024 </w:t>
      </w:r>
    </w:p>
    <w:p w14:paraId="7823038E" w14:textId="675C4CAE" w:rsidR="00760ACA" w:rsidRPr="00ED47F2" w:rsidRDefault="00760ACA" w:rsidP="00F643C6">
      <w:pPr>
        <w:pStyle w:val="Bodytext20"/>
        <w:numPr>
          <w:ilvl w:val="0"/>
          <w:numId w:val="3"/>
        </w:numPr>
        <w:tabs>
          <w:tab w:val="left" w:pos="432"/>
        </w:tabs>
        <w:spacing w:after="120" w:line="360" w:lineRule="auto"/>
        <w:ind w:left="0" w:firstLine="0"/>
        <w:jc w:val="both"/>
        <w:rPr>
          <w:rStyle w:val="BodyTextChar"/>
          <w:rFonts w:ascii="Arial" w:hAnsi="Arial" w:cs="Arial"/>
          <w:bCs/>
          <w:color w:val="010000"/>
          <w:sz w:val="20"/>
        </w:rPr>
      </w:pPr>
      <w:r w:rsidRPr="00ED47F2">
        <w:rPr>
          <w:rStyle w:val="BodyTextChar"/>
          <w:rFonts w:ascii="Arial" w:hAnsi="Arial" w:cs="Arial"/>
          <w:color w:val="010000"/>
          <w:sz w:val="20"/>
        </w:rPr>
        <w:t xml:space="preserve">Dividend payment rate in cash: 5% (Shareholders receive VND500 for </w:t>
      </w:r>
      <w:r w:rsidR="00F643C6">
        <w:rPr>
          <w:rStyle w:val="BodyTextChar"/>
          <w:rFonts w:ascii="Arial" w:hAnsi="Arial" w:cs="Arial"/>
          <w:color w:val="010000"/>
          <w:sz w:val="20"/>
        </w:rPr>
        <w:t>01 share owned)</w:t>
      </w:r>
      <w:r w:rsidRPr="00ED47F2">
        <w:rPr>
          <w:rStyle w:val="BodyTextChar"/>
          <w:rFonts w:ascii="Arial" w:hAnsi="Arial" w:cs="Arial"/>
          <w:color w:val="010000"/>
          <w:sz w:val="20"/>
        </w:rPr>
        <w:t xml:space="preserve"> </w:t>
      </w:r>
    </w:p>
    <w:p w14:paraId="50E7F3E7" w14:textId="58FE751B" w:rsidR="00760ACA" w:rsidRPr="00ED47F2" w:rsidRDefault="00341609" w:rsidP="00F643C6">
      <w:pPr>
        <w:pStyle w:val="Bodytext20"/>
        <w:numPr>
          <w:ilvl w:val="0"/>
          <w:numId w:val="3"/>
        </w:numPr>
        <w:tabs>
          <w:tab w:val="left" w:pos="432"/>
        </w:tabs>
        <w:spacing w:after="120" w:line="360" w:lineRule="auto"/>
        <w:ind w:left="0" w:firstLine="0"/>
        <w:jc w:val="both"/>
        <w:rPr>
          <w:rStyle w:val="BodyTextChar"/>
          <w:rFonts w:ascii="Arial" w:hAnsi="Arial" w:cs="Arial"/>
          <w:bCs/>
          <w:color w:val="010000"/>
          <w:sz w:val="20"/>
        </w:rPr>
      </w:pPr>
      <w:r>
        <w:rPr>
          <w:rStyle w:val="BodyTextChar"/>
          <w:rFonts w:ascii="Arial" w:hAnsi="Arial" w:cs="Arial"/>
          <w:color w:val="010000"/>
          <w:sz w:val="20"/>
        </w:rPr>
        <w:t>Exercise date</w:t>
      </w:r>
      <w:r w:rsidR="00760ACA" w:rsidRPr="00ED47F2">
        <w:rPr>
          <w:rStyle w:val="BodyTextChar"/>
          <w:rFonts w:ascii="Arial" w:hAnsi="Arial" w:cs="Arial"/>
          <w:color w:val="010000"/>
          <w:sz w:val="20"/>
        </w:rPr>
        <w:t>: From December 16, 2024</w:t>
      </w:r>
    </w:p>
    <w:p w14:paraId="3A4B26C9" w14:textId="30629481" w:rsidR="00760ACA" w:rsidRPr="00ED47F2" w:rsidRDefault="00760ACA" w:rsidP="00F643C6">
      <w:pPr>
        <w:pStyle w:val="Bodytext20"/>
        <w:numPr>
          <w:ilvl w:val="0"/>
          <w:numId w:val="3"/>
        </w:numPr>
        <w:tabs>
          <w:tab w:val="left" w:pos="432"/>
        </w:tabs>
        <w:spacing w:after="120" w:line="360" w:lineRule="auto"/>
        <w:ind w:left="0" w:firstLine="0"/>
        <w:jc w:val="both"/>
        <w:rPr>
          <w:rStyle w:val="BodyTextChar"/>
          <w:rFonts w:ascii="Arial" w:hAnsi="Arial" w:cs="Arial"/>
          <w:bCs/>
          <w:color w:val="010000"/>
          <w:sz w:val="20"/>
        </w:rPr>
      </w:pPr>
      <w:r w:rsidRPr="00ED47F2">
        <w:rPr>
          <w:rStyle w:val="BodyTextChar"/>
          <w:rFonts w:ascii="Arial" w:hAnsi="Arial" w:cs="Arial"/>
          <w:color w:val="010000"/>
          <w:sz w:val="20"/>
        </w:rPr>
        <w:t>Payment location:</w:t>
      </w:r>
    </w:p>
    <w:p w14:paraId="701BCF06" w14:textId="2C548E9B" w:rsidR="00760ACA" w:rsidRPr="00ED47F2" w:rsidRDefault="00760ACA" w:rsidP="00F643C6">
      <w:pPr>
        <w:pStyle w:val="Bodytext20"/>
        <w:numPr>
          <w:ilvl w:val="0"/>
          <w:numId w:val="4"/>
        </w:numPr>
        <w:tabs>
          <w:tab w:val="left" w:pos="432"/>
        </w:tabs>
        <w:spacing w:after="120" w:line="360" w:lineRule="auto"/>
        <w:ind w:left="0" w:firstLine="0"/>
        <w:jc w:val="both"/>
        <w:rPr>
          <w:rStyle w:val="BodyTextChar"/>
          <w:rFonts w:ascii="Arial" w:hAnsi="Arial" w:cs="Arial"/>
          <w:bCs/>
          <w:color w:val="010000"/>
          <w:sz w:val="20"/>
        </w:rPr>
      </w:pPr>
      <w:r w:rsidRPr="00ED47F2">
        <w:rPr>
          <w:rStyle w:val="BodyTextChar"/>
          <w:rFonts w:ascii="Arial" w:hAnsi="Arial" w:cs="Arial"/>
          <w:color w:val="010000"/>
          <w:sz w:val="20"/>
        </w:rPr>
        <w:t>For deposited securities: Owners implement procedures to receive dividends at the Depository Members where depository accounts are opened.</w:t>
      </w:r>
    </w:p>
    <w:p w14:paraId="75E2097F" w14:textId="42EFA700" w:rsidR="00760ACA" w:rsidRPr="00ED47F2" w:rsidRDefault="00760ACA" w:rsidP="00F643C6">
      <w:pPr>
        <w:pStyle w:val="Bodytext20"/>
        <w:numPr>
          <w:ilvl w:val="0"/>
          <w:numId w:val="4"/>
        </w:numPr>
        <w:tabs>
          <w:tab w:val="left" w:pos="432"/>
        </w:tabs>
        <w:spacing w:after="120" w:line="360" w:lineRule="auto"/>
        <w:ind w:left="0" w:firstLine="0"/>
        <w:jc w:val="both"/>
        <w:rPr>
          <w:rStyle w:val="BodyTextChar"/>
          <w:rFonts w:ascii="Arial" w:hAnsi="Arial" w:cs="Arial"/>
          <w:bCs/>
          <w:color w:val="010000"/>
          <w:sz w:val="20"/>
        </w:rPr>
      </w:pPr>
      <w:r w:rsidRPr="00ED47F2">
        <w:rPr>
          <w:rStyle w:val="BodyTextChar"/>
          <w:rFonts w:ascii="Arial" w:hAnsi="Arial" w:cs="Arial"/>
          <w:color w:val="010000"/>
          <w:sz w:val="20"/>
        </w:rPr>
        <w:t>For undeposited securities: Owners implement procedures to receive dividends at the Finance-Accounting Department of Power Engineering Consulting Joint Stock Company 3 from December 16, 2024 on working days and present Share Ownership Certificate, ID Card/Citizen ID card (or legal Power of Attorney).</w:t>
      </w:r>
    </w:p>
    <w:p w14:paraId="0D6B76C8" w14:textId="5A3CDA4E" w:rsidR="007343E3" w:rsidRPr="00ED47F2" w:rsidRDefault="00760ACA" w:rsidP="00F643C6">
      <w:pPr>
        <w:pStyle w:val="Bodytext20"/>
        <w:pBdr>
          <w:bottom w:val="single" w:sz="6" w:space="1" w:color="auto"/>
        </w:pBdr>
        <w:tabs>
          <w:tab w:val="left" w:pos="432"/>
        </w:tabs>
        <w:spacing w:after="120" w:line="360" w:lineRule="auto"/>
        <w:ind w:left="0"/>
        <w:jc w:val="both"/>
        <w:rPr>
          <w:rStyle w:val="BodyTextChar"/>
          <w:rFonts w:ascii="Arial" w:hAnsi="Arial" w:cs="Arial"/>
          <w:color w:val="010000"/>
          <w:sz w:val="20"/>
        </w:rPr>
      </w:pPr>
      <w:r w:rsidRPr="00ED47F2">
        <w:rPr>
          <w:rStyle w:val="BodyTextChar"/>
          <w:rFonts w:ascii="Arial" w:hAnsi="Arial" w:cs="Arial"/>
          <w:color w:val="010000"/>
          <w:sz w:val="20"/>
        </w:rPr>
        <w:t xml:space="preserve">‎‎Article 2. This </w:t>
      </w:r>
      <w:r w:rsidR="00341609">
        <w:rPr>
          <w:rStyle w:val="BodyTextChar"/>
          <w:rFonts w:ascii="Arial" w:hAnsi="Arial" w:cs="Arial"/>
          <w:color w:val="010000"/>
          <w:sz w:val="20"/>
        </w:rPr>
        <w:t xml:space="preserve">Board </w:t>
      </w:r>
      <w:r w:rsidRPr="00ED47F2">
        <w:rPr>
          <w:rStyle w:val="BodyTextChar"/>
          <w:rFonts w:ascii="Arial" w:hAnsi="Arial" w:cs="Arial"/>
          <w:color w:val="010000"/>
          <w:sz w:val="20"/>
        </w:rPr>
        <w:t>Resolution takes effect from the date of its promulgation. Members of the Board of Directors, the Supervisory Board, the Board of Management, and Heads of subsidiaries of the Company are responsible for implementing this Resolution.</w:t>
      </w:r>
    </w:p>
    <w:p w14:paraId="23F7785D" w14:textId="77777777" w:rsidR="00ED47F2" w:rsidRPr="00ED47F2" w:rsidRDefault="00ED47F2" w:rsidP="00F643C6">
      <w:pPr>
        <w:pStyle w:val="Bodytext20"/>
        <w:tabs>
          <w:tab w:val="left" w:pos="432"/>
        </w:tabs>
        <w:spacing w:after="120" w:line="360" w:lineRule="auto"/>
        <w:ind w:left="0"/>
        <w:jc w:val="both"/>
        <w:rPr>
          <w:rStyle w:val="BodyTextChar"/>
          <w:rFonts w:ascii="Arial" w:hAnsi="Arial" w:cs="Arial"/>
          <w:bCs/>
          <w:color w:val="010000"/>
          <w:sz w:val="20"/>
          <w:u w:val="single"/>
        </w:rPr>
      </w:pPr>
    </w:p>
    <w:p w14:paraId="71F223A3" w14:textId="1085461F" w:rsidR="00760ACA" w:rsidRPr="00ED47F2" w:rsidRDefault="00760ACA" w:rsidP="00F643C6">
      <w:pPr>
        <w:pStyle w:val="BodyText"/>
        <w:tabs>
          <w:tab w:val="left" w:pos="432"/>
        </w:tabs>
        <w:spacing w:after="120" w:line="360" w:lineRule="auto"/>
        <w:jc w:val="both"/>
        <w:rPr>
          <w:rStyle w:val="Bodytext2"/>
          <w:rFonts w:ascii="Arial" w:hAnsi="Arial" w:cs="Arial"/>
          <w:bCs/>
          <w:color w:val="010000"/>
          <w:sz w:val="20"/>
        </w:rPr>
      </w:pPr>
      <w:r w:rsidRPr="00ED47F2">
        <w:rPr>
          <w:rStyle w:val="BodyTextChar"/>
          <w:rFonts w:ascii="Arial" w:hAnsi="Arial" w:cs="Arial"/>
          <w:color w:val="010000"/>
          <w:sz w:val="20"/>
        </w:rPr>
        <w:t xml:space="preserve">On October 3, 2024, Power Engineering Consulting Joint Stock Company 3 announced Resolution </w:t>
      </w:r>
      <w:r w:rsidR="00ED47F2" w:rsidRPr="00ED47F2">
        <w:rPr>
          <w:rStyle w:val="BodyTextChar"/>
          <w:rFonts w:ascii="Arial" w:hAnsi="Arial" w:cs="Arial"/>
          <w:color w:val="010000"/>
          <w:sz w:val="20"/>
        </w:rPr>
        <w:t xml:space="preserve">No. </w:t>
      </w:r>
      <w:r w:rsidRPr="00ED47F2">
        <w:rPr>
          <w:rStyle w:val="BodyTextChar"/>
          <w:rFonts w:ascii="Arial" w:hAnsi="Arial" w:cs="Arial"/>
          <w:color w:val="010000"/>
          <w:sz w:val="20"/>
        </w:rPr>
        <w:t>234/NQ-HDQT - TVD3 as follows:</w:t>
      </w:r>
    </w:p>
    <w:p w14:paraId="714E167A" w14:textId="4DD4C42F" w:rsidR="00760ACA" w:rsidRPr="00ED47F2" w:rsidRDefault="00760ACA" w:rsidP="00F643C6">
      <w:pPr>
        <w:pStyle w:val="Bodytext20"/>
        <w:tabs>
          <w:tab w:val="left" w:pos="432"/>
        </w:tabs>
        <w:spacing w:after="120" w:line="360" w:lineRule="auto"/>
        <w:ind w:left="0"/>
        <w:jc w:val="both"/>
        <w:rPr>
          <w:rStyle w:val="Bodytext2"/>
          <w:rFonts w:ascii="Arial" w:hAnsi="Arial" w:cs="Arial"/>
          <w:color w:val="010000"/>
          <w:sz w:val="20"/>
        </w:rPr>
      </w:pPr>
      <w:r w:rsidRPr="00ED47F2">
        <w:rPr>
          <w:rStyle w:val="Bodytext2"/>
          <w:rFonts w:ascii="Arial" w:hAnsi="Arial" w:cs="Arial"/>
          <w:color w:val="010000"/>
          <w:sz w:val="20"/>
        </w:rPr>
        <w:t xml:space="preserve">‎‎Article 1. Approve the contracts signed between the company with the affiliated persons in Q3/2024 </w:t>
      </w:r>
      <w:r w:rsidR="00341609">
        <w:rPr>
          <w:rStyle w:val="Bodytext2"/>
          <w:rFonts w:ascii="Arial" w:hAnsi="Arial" w:cs="Arial"/>
          <w:color w:val="010000"/>
          <w:sz w:val="20"/>
        </w:rPr>
        <w:t>amounting 06 contracts and</w:t>
      </w:r>
      <w:r w:rsidR="00ED47F2" w:rsidRPr="00ED47F2">
        <w:rPr>
          <w:rStyle w:val="Bodytext2"/>
          <w:rFonts w:ascii="Arial" w:hAnsi="Arial" w:cs="Arial"/>
          <w:color w:val="010000"/>
          <w:sz w:val="20"/>
        </w:rPr>
        <w:t xml:space="preserve"> </w:t>
      </w:r>
      <w:r w:rsidRPr="00ED47F2">
        <w:rPr>
          <w:rStyle w:val="Bodytext2"/>
          <w:rFonts w:ascii="Arial" w:hAnsi="Arial" w:cs="Arial"/>
          <w:color w:val="010000"/>
          <w:sz w:val="20"/>
        </w:rPr>
        <w:t xml:space="preserve">total value of </w:t>
      </w:r>
      <w:r w:rsidR="00ED47F2" w:rsidRPr="00ED47F2">
        <w:rPr>
          <w:rStyle w:val="Bodytext2"/>
          <w:rFonts w:ascii="Arial" w:hAnsi="Arial" w:cs="Arial"/>
          <w:color w:val="010000"/>
          <w:sz w:val="20"/>
        </w:rPr>
        <w:t xml:space="preserve">the </w:t>
      </w:r>
      <w:r w:rsidRPr="00ED47F2">
        <w:rPr>
          <w:rStyle w:val="Bodytext2"/>
          <w:rFonts w:ascii="Arial" w:hAnsi="Arial" w:cs="Arial"/>
          <w:color w:val="010000"/>
          <w:sz w:val="20"/>
        </w:rPr>
        <w:t>contracts is VND4.7 billion.</w:t>
      </w:r>
    </w:p>
    <w:p w14:paraId="5BC146AC" w14:textId="77777777" w:rsidR="00760ACA" w:rsidRPr="00ED47F2" w:rsidRDefault="00760ACA" w:rsidP="00F643C6">
      <w:pPr>
        <w:pStyle w:val="Bodytext20"/>
        <w:tabs>
          <w:tab w:val="left" w:pos="432"/>
        </w:tabs>
        <w:spacing w:after="120" w:line="360" w:lineRule="auto"/>
        <w:ind w:left="0"/>
        <w:jc w:val="both"/>
        <w:rPr>
          <w:rStyle w:val="Bodytext2"/>
          <w:rFonts w:ascii="Arial" w:hAnsi="Arial" w:cs="Arial"/>
          <w:color w:val="010000"/>
          <w:sz w:val="20"/>
        </w:rPr>
      </w:pPr>
      <w:r w:rsidRPr="00ED47F2">
        <w:rPr>
          <w:rStyle w:val="Bodytext2"/>
          <w:rFonts w:ascii="Arial" w:hAnsi="Arial" w:cs="Arial"/>
          <w:color w:val="010000"/>
          <w:sz w:val="20"/>
        </w:rPr>
        <w:t>‎‎Article 2. Approve the policy on the Company signing contracts with the affiliated persons in Q3/2024 with a number of 06 contracts and the expected total value of the contracts is VND102.1 billion.</w:t>
      </w:r>
    </w:p>
    <w:p w14:paraId="51999AF3" w14:textId="04CB2A38" w:rsidR="007343E3" w:rsidRPr="00ED47F2" w:rsidRDefault="00760ACA" w:rsidP="00F643C6">
      <w:pPr>
        <w:pStyle w:val="Bodytext20"/>
        <w:tabs>
          <w:tab w:val="left" w:pos="432"/>
        </w:tabs>
        <w:spacing w:after="120" w:line="360" w:lineRule="auto"/>
        <w:ind w:left="0"/>
        <w:jc w:val="both"/>
        <w:rPr>
          <w:rFonts w:ascii="Arial" w:hAnsi="Arial" w:cs="Arial"/>
          <w:color w:val="010000"/>
          <w:sz w:val="20"/>
          <w:szCs w:val="26"/>
        </w:rPr>
      </w:pPr>
      <w:r w:rsidRPr="00ED47F2">
        <w:rPr>
          <w:rStyle w:val="Bodytext2"/>
          <w:rFonts w:ascii="Arial" w:hAnsi="Arial" w:cs="Arial"/>
          <w:color w:val="010000"/>
          <w:sz w:val="20"/>
        </w:rPr>
        <w:t>‎‎Article 3. This Resolution takes effect from the date of its promulgation. Members of the Board of Directors</w:t>
      </w:r>
      <w:r w:rsidR="00341609">
        <w:rPr>
          <w:rStyle w:val="Bodytext2"/>
          <w:rFonts w:ascii="Arial" w:hAnsi="Arial" w:cs="Arial"/>
          <w:color w:val="010000"/>
          <w:sz w:val="20"/>
        </w:rPr>
        <w:t>,</w:t>
      </w:r>
      <w:r w:rsidRPr="00ED47F2">
        <w:rPr>
          <w:rStyle w:val="Bodytext2"/>
          <w:rFonts w:ascii="Arial" w:hAnsi="Arial" w:cs="Arial"/>
          <w:color w:val="010000"/>
          <w:sz w:val="20"/>
        </w:rPr>
        <w:t xml:space="preserve"> Supervisory Board</w:t>
      </w:r>
      <w:r w:rsidR="00341609">
        <w:rPr>
          <w:rStyle w:val="Bodytext2"/>
          <w:rFonts w:ascii="Arial" w:hAnsi="Arial" w:cs="Arial"/>
          <w:color w:val="010000"/>
          <w:sz w:val="20"/>
        </w:rPr>
        <w:t xml:space="preserve"> and Executive Board </w:t>
      </w:r>
      <w:r w:rsidRPr="00ED47F2">
        <w:rPr>
          <w:rStyle w:val="Bodytext2"/>
          <w:rFonts w:ascii="Arial" w:hAnsi="Arial" w:cs="Arial"/>
          <w:color w:val="010000"/>
          <w:sz w:val="20"/>
        </w:rPr>
        <w:t>and Heads of subsidiaries of the Company are responsible for implementing this Resolution./.</w:t>
      </w:r>
    </w:p>
    <w:sectPr w:rsidR="007343E3" w:rsidRPr="00ED47F2" w:rsidSect="00ED47F2">
      <w:pgSz w:w="11907" w:h="1683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3721B" w14:textId="77777777" w:rsidR="00B21FB7" w:rsidRDefault="00B21FB7">
      <w:r>
        <w:separator/>
      </w:r>
    </w:p>
  </w:endnote>
  <w:endnote w:type="continuationSeparator" w:id="0">
    <w:p w14:paraId="612AD3D9" w14:textId="77777777" w:rsidR="00B21FB7" w:rsidRDefault="00B2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2301" w14:textId="77777777" w:rsidR="00B21FB7" w:rsidRDefault="00B21FB7"/>
  </w:footnote>
  <w:footnote w:type="continuationSeparator" w:id="0">
    <w:p w14:paraId="1358D75D" w14:textId="77777777" w:rsidR="00B21FB7" w:rsidRDefault="00B21FB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CCA"/>
    <w:multiLevelType w:val="hybridMultilevel"/>
    <w:tmpl w:val="8A1A678E"/>
    <w:lvl w:ilvl="0" w:tplc="A9D8706A">
      <w:start w:val="1"/>
      <w:numFmt w:val="decimal"/>
      <w:lvlText w:val="%1."/>
      <w:lvlJc w:val="left"/>
      <w:pPr>
        <w:ind w:left="720" w:hanging="360"/>
      </w:pPr>
      <w:rPr>
        <w:rFonts w:ascii="Arial" w:hAnsi="Arial" w:cs="Arial"/>
        <w:b w:val="0"/>
        <w:i w:val="0"/>
        <w:sz w:val="20"/>
        <w:u w:val="none"/>
      </w:rPr>
    </w:lvl>
    <w:lvl w:ilvl="1" w:tplc="2494B00A" w:tentative="1">
      <w:start w:val="1"/>
      <w:numFmt w:val="lowerLetter"/>
      <w:lvlText w:val="%2."/>
      <w:lvlJc w:val="left"/>
      <w:pPr>
        <w:ind w:left="1440" w:hanging="360"/>
      </w:pPr>
      <w:rPr>
        <w:rFonts w:ascii="Arial" w:hAnsi="Arial" w:cs="Arial"/>
        <w:b w:val="0"/>
        <w:i w:val="0"/>
        <w:sz w:val="20"/>
      </w:rPr>
    </w:lvl>
    <w:lvl w:ilvl="2" w:tplc="173A7332" w:tentative="1">
      <w:start w:val="1"/>
      <w:numFmt w:val="lowerRoman"/>
      <w:lvlText w:val="%3."/>
      <w:lvlJc w:val="right"/>
      <w:pPr>
        <w:ind w:left="2160" w:hanging="180"/>
      </w:pPr>
      <w:rPr>
        <w:rFonts w:ascii="Arial" w:hAnsi="Arial" w:cs="Arial"/>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325B9"/>
    <w:multiLevelType w:val="multilevel"/>
    <w:tmpl w:val="8BCED756"/>
    <w:lvl w:ilvl="0">
      <w:start w:val="1"/>
      <w:numFmt w:val="decimal"/>
      <w:lvlText w:val="%1."/>
      <w:lvlJc w:val="left"/>
      <w:rPr>
        <w:rFonts w:ascii="Arial" w:eastAsia="Times New Roman" w:hAnsi="Arial" w:cs="Arial"/>
        <w:b w:val="0"/>
        <w:bCs w:val="0"/>
        <w:i w:val="0"/>
        <w:iCs w:val="0"/>
        <w:smallCaps w:val="0"/>
        <w:strike w:val="0"/>
        <w:color w:val="0C0F0F"/>
        <w:spacing w:val="0"/>
        <w:w w:val="100"/>
        <w:position w:val="0"/>
        <w:sz w:val="20"/>
        <w:szCs w:val="26"/>
        <w:u w:val="none"/>
        <w:shd w:val="clear" w:color="auto" w:fill="auto"/>
        <w:lang w:val="en-US" w:eastAsia="en-US"/>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2711CB"/>
    <w:multiLevelType w:val="hybridMultilevel"/>
    <w:tmpl w:val="3230D894"/>
    <w:lvl w:ilvl="0" w:tplc="149046B2">
      <w:start w:val="1"/>
      <w:numFmt w:val="lowerLetter"/>
      <w:lvlText w:val="%1."/>
      <w:lvlJc w:val="left"/>
      <w:pPr>
        <w:ind w:left="720" w:hanging="360"/>
      </w:pPr>
      <w:rPr>
        <w:rFonts w:ascii="Arial" w:hAnsi="Arial" w:cs="Arial"/>
        <w:b w:val="0"/>
        <w:i w:val="0"/>
        <w:sz w:val="20"/>
        <w:u w:val="none"/>
      </w:rPr>
    </w:lvl>
    <w:lvl w:ilvl="1" w:tplc="98E64D86" w:tentative="1">
      <w:start w:val="1"/>
      <w:numFmt w:val="lowerLetter"/>
      <w:lvlText w:val="%2."/>
      <w:lvlJc w:val="left"/>
      <w:pPr>
        <w:ind w:left="1440" w:hanging="360"/>
      </w:pPr>
      <w:rPr>
        <w:rFonts w:ascii="Arial" w:hAnsi="Arial" w:cs="Arial"/>
        <w:b w:val="0"/>
        <w:i w:val="0"/>
        <w:sz w:val="20"/>
      </w:rPr>
    </w:lvl>
    <w:lvl w:ilvl="2" w:tplc="5BAE92C8" w:tentative="1">
      <w:start w:val="1"/>
      <w:numFmt w:val="lowerRoman"/>
      <w:lvlText w:val="%3."/>
      <w:lvlJc w:val="right"/>
      <w:pPr>
        <w:ind w:left="2160" w:hanging="180"/>
      </w:pPr>
      <w:rPr>
        <w:rFonts w:ascii="Arial" w:hAnsi="Arial" w:cs="Arial"/>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A3648"/>
    <w:multiLevelType w:val="multilevel"/>
    <w:tmpl w:val="8F9E2666"/>
    <w:lvl w:ilvl="0">
      <w:start w:val="1"/>
      <w:numFmt w:val="lowerLetter"/>
      <w:lvlText w:val="%1."/>
      <w:lvlJc w:val="left"/>
      <w:rPr>
        <w:rFonts w:ascii="Arial" w:eastAsia="Times New Roman" w:hAnsi="Arial" w:cs="Arial"/>
        <w:b w:val="0"/>
        <w:bCs w:val="0"/>
        <w:i w:val="0"/>
        <w:iCs w:val="0"/>
        <w:smallCaps w:val="0"/>
        <w:strike w:val="0"/>
        <w:color w:val="0E1212"/>
        <w:spacing w:val="0"/>
        <w:w w:val="100"/>
        <w:position w:val="0"/>
        <w:sz w:val="20"/>
        <w:szCs w:val="26"/>
        <w:u w:val="none"/>
        <w:shd w:val="clear" w:color="auto" w:fill="auto"/>
        <w:lang w:val="en-US" w:eastAsia="en-US"/>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E3"/>
    <w:rsid w:val="0020243D"/>
    <w:rsid w:val="00341609"/>
    <w:rsid w:val="004C5191"/>
    <w:rsid w:val="007343E3"/>
    <w:rsid w:val="00760ACA"/>
    <w:rsid w:val="00B21FB7"/>
    <w:rsid w:val="00ED47F2"/>
    <w:rsid w:val="00F643C6"/>
    <w:rsid w:val="00F7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C201A"/>
  <w15:docId w15:val="{ACEE6E8C-E358-4AD0-8396-8F5026C9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0E1212"/>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030507"/>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0D0E0E"/>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101818"/>
      <w:sz w:val="20"/>
      <w:szCs w:val="20"/>
      <w:u w:val="none"/>
    </w:rPr>
  </w:style>
  <w:style w:type="paragraph" w:styleId="BodyText">
    <w:name w:val="Body Text"/>
    <w:basedOn w:val="Normal"/>
    <w:link w:val="BodyTextChar"/>
    <w:qFormat/>
    <w:rPr>
      <w:rFonts w:ascii="Times New Roman" w:eastAsia="Times New Roman" w:hAnsi="Times New Roman" w:cs="Times New Roman"/>
      <w:color w:val="0E1212"/>
      <w:sz w:val="26"/>
      <w:szCs w:val="26"/>
    </w:rPr>
  </w:style>
  <w:style w:type="paragraph" w:customStyle="1" w:styleId="Heading10">
    <w:name w:val="Heading #1"/>
    <w:basedOn w:val="Normal"/>
    <w:link w:val="Heading1"/>
    <w:pPr>
      <w:spacing w:line="288" w:lineRule="auto"/>
      <w:jc w:val="center"/>
      <w:outlineLvl w:val="0"/>
    </w:pPr>
    <w:rPr>
      <w:rFonts w:ascii="Times New Roman" w:eastAsia="Times New Roman" w:hAnsi="Times New Roman" w:cs="Times New Roman"/>
      <w:b/>
      <w:bCs/>
      <w:color w:val="030507"/>
      <w:sz w:val="28"/>
      <w:szCs w:val="28"/>
    </w:rPr>
  </w:style>
  <w:style w:type="paragraph" w:customStyle="1" w:styleId="Bodytext20">
    <w:name w:val="Body text (2)"/>
    <w:basedOn w:val="Normal"/>
    <w:link w:val="Bodytext2"/>
    <w:pPr>
      <w:spacing w:line="281" w:lineRule="auto"/>
      <w:ind w:left="1420"/>
    </w:pPr>
    <w:rPr>
      <w:rFonts w:ascii="Times New Roman" w:eastAsia="Times New Roman" w:hAnsi="Times New Roman" w:cs="Times New Roman"/>
      <w:color w:val="0D0E0E"/>
    </w:rPr>
  </w:style>
  <w:style w:type="paragraph" w:customStyle="1" w:styleId="Bodytext30">
    <w:name w:val="Body text (3)"/>
    <w:basedOn w:val="Normal"/>
    <w:link w:val="Bodytext3"/>
    <w:rPr>
      <w:rFonts w:ascii="Arial" w:eastAsia="Arial" w:hAnsi="Arial" w:cs="Arial"/>
      <w:color w:val="10181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2024-10-09T02:49:00Z</dcterms:created>
  <dcterms:modified xsi:type="dcterms:W3CDTF">2024-10-09T02:49:00Z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f0ca94448276a514f1a491b616b95ae2fc7e82550f020026aecead6f938a0929</vt:lpwstr>
  </property>
</Properties>
</file>