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C00B" w14:textId="77777777" w:rsidR="00177153" w:rsidRDefault="002E67FF" w:rsidP="003D46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ISH: Annual Corporate Governance 2023</w:t>
      </w:r>
    </w:p>
    <w:p w14:paraId="422C61A1" w14:textId="748EF2C1" w:rsidR="00177153" w:rsidRDefault="002E67FF" w:rsidP="003D46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26, 2024, IDICO </w:t>
      </w:r>
      <w:proofErr w:type="spellStart"/>
      <w:r>
        <w:rPr>
          <w:rFonts w:ascii="Arial" w:hAnsi="Arial"/>
          <w:color w:val="010000"/>
          <w:sz w:val="20"/>
        </w:rPr>
        <w:t>Srok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Mieng</w:t>
      </w:r>
      <w:proofErr w:type="spellEnd"/>
      <w:r>
        <w:rPr>
          <w:rFonts w:ascii="Arial" w:hAnsi="Arial"/>
          <w:color w:val="010000"/>
          <w:sz w:val="20"/>
        </w:rPr>
        <w:t xml:space="preserve"> Hydropower Joint Stock Company announced Report No. 01/BC-HDQT on the corporate governance in 2023 as follows: </w:t>
      </w:r>
    </w:p>
    <w:p w14:paraId="3BAA2C17" w14:textId="77777777" w:rsidR="00177153" w:rsidRDefault="002E67FF" w:rsidP="003D46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listed company: IDICO </w:t>
      </w:r>
      <w:proofErr w:type="spellStart"/>
      <w:r>
        <w:rPr>
          <w:rFonts w:ascii="Arial" w:hAnsi="Arial"/>
          <w:color w:val="010000"/>
          <w:sz w:val="20"/>
        </w:rPr>
        <w:t>Srok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Mieng</w:t>
      </w:r>
      <w:proofErr w:type="spellEnd"/>
      <w:r>
        <w:rPr>
          <w:rFonts w:ascii="Arial" w:hAnsi="Arial"/>
          <w:color w:val="010000"/>
          <w:sz w:val="20"/>
        </w:rPr>
        <w:t xml:space="preserve"> Hydropower Joint Stock Company</w:t>
      </w:r>
    </w:p>
    <w:p w14:paraId="0A6A3697" w14:textId="77777777" w:rsidR="00177153" w:rsidRDefault="002E67FF" w:rsidP="003D46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Zone 7, Long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Ward,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Rieng</w:t>
      </w:r>
      <w:proofErr w:type="spellEnd"/>
      <w:r>
        <w:rPr>
          <w:rFonts w:ascii="Arial" w:hAnsi="Arial"/>
          <w:color w:val="010000"/>
          <w:sz w:val="20"/>
        </w:rPr>
        <w:t xml:space="preserve"> District,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Phuoc</w:t>
      </w:r>
      <w:proofErr w:type="spellEnd"/>
      <w:r>
        <w:rPr>
          <w:rFonts w:ascii="Arial" w:hAnsi="Arial"/>
          <w:color w:val="010000"/>
          <w:sz w:val="20"/>
        </w:rPr>
        <w:t xml:space="preserve"> Province</w:t>
      </w:r>
    </w:p>
    <w:p w14:paraId="27BCF63B" w14:textId="77777777" w:rsidR="00177153" w:rsidRDefault="002E67FF" w:rsidP="003D46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0271.3731400       Fax: 0271.3731092</w:t>
      </w:r>
    </w:p>
    <w:p w14:paraId="173EF1D4" w14:textId="77777777" w:rsidR="00177153" w:rsidRDefault="002E67FF" w:rsidP="003D46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r>
          <w:rPr>
            <w:rFonts w:ascii="Arial" w:hAnsi="Arial"/>
            <w:color w:val="0563C1"/>
            <w:sz w:val="20"/>
            <w:u w:val="single"/>
          </w:rPr>
          <w:t>idicoshp.vpth@gmail.com</w:t>
        </w:r>
      </w:hyperlink>
      <w:r>
        <w:rPr>
          <w:rFonts w:ascii="Arial" w:hAnsi="Arial"/>
          <w:color w:val="010000"/>
          <w:sz w:val="20"/>
        </w:rPr>
        <w:t xml:space="preserve"> </w:t>
      </w:r>
    </w:p>
    <w:p w14:paraId="64D014ED" w14:textId="77777777" w:rsidR="00177153" w:rsidRDefault="002E67FF" w:rsidP="003D46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450,000,000,000</w:t>
      </w:r>
    </w:p>
    <w:p w14:paraId="1DBFA9CE" w14:textId="77777777" w:rsidR="00177153" w:rsidRDefault="002E67FF" w:rsidP="003D46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ISH</w:t>
      </w:r>
    </w:p>
    <w:p w14:paraId="5CE21847" w14:textId="5AC054FA" w:rsidR="00177153" w:rsidRDefault="002E67FF" w:rsidP="003D46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3D46A8">
        <w:rPr>
          <w:rFonts w:ascii="Arial" w:hAnsi="Arial"/>
          <w:color w:val="010000"/>
          <w:sz w:val="20"/>
        </w:rPr>
        <w:t>General Meeting, Board of Directors, 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3D46A8">
        <w:rPr>
          <w:rFonts w:ascii="Arial" w:hAnsi="Arial"/>
          <w:color w:val="010000"/>
          <w:sz w:val="20"/>
        </w:rPr>
        <w:t>Executive Manager</w:t>
      </w:r>
      <w:r>
        <w:rPr>
          <w:rFonts w:ascii="Arial" w:hAnsi="Arial"/>
          <w:color w:val="010000"/>
          <w:sz w:val="20"/>
        </w:rPr>
        <w:t>.</w:t>
      </w:r>
    </w:p>
    <w:p w14:paraId="68CA50D4" w14:textId="77777777" w:rsidR="00177153" w:rsidRDefault="002E67FF" w:rsidP="003D46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of the internal audit function: Not implemented yet</w:t>
      </w:r>
    </w:p>
    <w:p w14:paraId="348BCA94" w14:textId="48A8A81A" w:rsidR="00177153" w:rsidRDefault="002E67FF" w:rsidP="003D46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3D46A8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71E76961" w14:textId="3AC1E331" w:rsidR="00177153" w:rsidRDefault="002E67FF" w:rsidP="003D46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3D46A8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3D46A8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 xml:space="preserve">):  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3115"/>
        <w:gridCol w:w="1530"/>
        <w:gridCol w:w="3892"/>
      </w:tblGrid>
      <w:tr w:rsidR="00177153" w14:paraId="0E9A14FD" w14:textId="77777777" w:rsidTr="003D46A8">
        <w:tc>
          <w:tcPr>
            <w:tcW w:w="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2915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FA8FA" w14:textId="37E99733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3D46A8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252E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2C707" w14:textId="15CB0742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3D46A8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177153" w14:paraId="70EC5E8B" w14:textId="77777777" w:rsidTr="003D46A8">
        <w:tc>
          <w:tcPr>
            <w:tcW w:w="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3DF4A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9E843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01/NQ-DHDCD (Annual General Mandate 2023)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005AA" w14:textId="7B33FA4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8AAC6" w14:textId="64E9CC7D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bookmarkStart w:id="0" w:name="_MON_1768230174"/>
            <w:bookmarkEnd w:id="0"/>
            <w:r w:rsidR="002C17B3">
              <w:rPr>
                <w:rFonts w:ascii="Arial" w:hAnsi="Arial"/>
                <w:noProof/>
                <w:color w:val="010000"/>
                <w:sz w:val="20"/>
              </w:rPr>
              <w:object w:dxaOrig="1541" w:dyaOrig="1000" w14:anchorId="7856B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alt="" style="width:76.5pt;height:49.5pt;mso-width-percent:0;mso-height-percent:0;mso-width-percent:0;mso-height-percent:0" o:ole="">
                  <v:imagedata r:id="rId7" o:title=""/>
                </v:shape>
                <o:OLEObject Type="Embed" ProgID="Word.Document.12" ShapeID="_x0000_i1107" DrawAspect="Icon" ObjectID="_1768310530" r:id="rId8">
                  <o:FieldCodes>\s</o:FieldCodes>
                </o:OLEObject>
              </w:object>
            </w:r>
          </w:p>
        </w:tc>
      </w:tr>
    </w:tbl>
    <w:p w14:paraId="36F3FAED" w14:textId="7E89EBF0" w:rsidR="00177153" w:rsidRDefault="002E67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Directors:</w:t>
      </w:r>
    </w:p>
    <w:p w14:paraId="48EE1676" w14:textId="77777777" w:rsidR="00177153" w:rsidRDefault="002E67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485"/>
        <w:gridCol w:w="2377"/>
        <w:gridCol w:w="1877"/>
        <w:gridCol w:w="2249"/>
        <w:gridCol w:w="2029"/>
      </w:tblGrid>
      <w:tr w:rsidR="00177153" w14:paraId="18AB03C4" w14:textId="77777777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087D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7BD7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D266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7D82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 of the Board of Directors</w:t>
            </w:r>
          </w:p>
        </w:tc>
      </w:tr>
      <w:tr w:rsidR="00177153" w14:paraId="5D1D8409" w14:textId="77777777"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C3C42" w14:textId="77777777" w:rsidR="00177153" w:rsidRDefault="0017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0A9D0" w14:textId="77777777" w:rsidR="00177153" w:rsidRDefault="0017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F5186" w14:textId="77777777" w:rsidR="00177153" w:rsidRDefault="0017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76E07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4CF3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177153" w14:paraId="10B48CAF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F233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6B59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Thinh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06B8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A94A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6A13E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77153" w14:paraId="52D07FE6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5E22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1BE13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Cao Nguyen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5928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324A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1EBD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</w:tr>
      <w:tr w:rsidR="00177153" w14:paraId="4402FF11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785A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E3A9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Hoang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BA40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Non-executive member of the Board of Directors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07835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2018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0770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</w:tr>
      <w:tr w:rsidR="00177153" w14:paraId="180B2414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FF98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3AAE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Thuy Giang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FF5A5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FAEB5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E2195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77153" w14:paraId="5282FC88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3C9A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C53A7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Thanh Hoai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1FFD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1A51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2019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73B18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77153" w14:paraId="4A5B56AF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ECE1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421CA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Phong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Danh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12463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DDA4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BE0C9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77153" w14:paraId="2FE3B154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9655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1BEC7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Mai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0C20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FF89A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14, 2022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13463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D16A48E" w14:textId="77777777" w:rsidR="00177153" w:rsidRDefault="002E67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1496"/>
        <w:gridCol w:w="1530"/>
        <w:gridCol w:w="5602"/>
      </w:tblGrid>
      <w:tr w:rsidR="00177153" w14:paraId="7DA667FF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3A88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57E8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Resolution/Decision No.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3536A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3CB9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177153" w14:paraId="036F0977" w14:textId="77777777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0A36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628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9E40F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Resolutions</w:t>
            </w:r>
          </w:p>
        </w:tc>
      </w:tr>
      <w:tr w:rsidR="00177153" w14:paraId="706F16B3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AD10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0E4B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3E42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5710F" w14:textId="515082E5" w:rsidR="00177153" w:rsidRDefault="003D46A8" w:rsidP="003D4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Convening</w:t>
            </w:r>
            <w:r w:rsidR="002E67FF">
              <w:rPr>
                <w:rFonts w:ascii="Arial" w:hAnsi="Arial"/>
                <w:color w:val="010000"/>
                <w:sz w:val="20"/>
              </w:rPr>
              <w:t xml:space="preserve">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="002E67FF"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177153" w14:paraId="06756D46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6D17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E35DF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560B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B0E02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session in March 2023</w:t>
            </w:r>
          </w:p>
        </w:tc>
      </w:tr>
      <w:tr w:rsidR="00177153" w14:paraId="46371BAB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DC45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2E485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5C02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83E33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Assign duties for members of the Board of Directors of the Company</w:t>
            </w:r>
          </w:p>
        </w:tc>
      </w:tr>
      <w:tr w:rsidR="00177153" w14:paraId="0F9F4FEF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D539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D04A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9307F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65533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on borrowing working capital in 2023 for production and business activities of the Company (Bank for Foreign Trade of Vietnam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Branch)</w:t>
            </w:r>
          </w:p>
        </w:tc>
      </w:tr>
      <w:tr w:rsidR="00177153" w14:paraId="39D0DA32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A4575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79E35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CFEBF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58E4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on borrowing working capital and guarantee limit in 2023 for production and business activities of the Company (Vietnam Joint Stock Commercial Bank for Industry and Trade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Branch)</w:t>
            </w:r>
          </w:p>
        </w:tc>
      </w:tr>
      <w:tr w:rsidR="00177153" w14:paraId="10F7F656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F7FD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72BA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1638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12,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41A0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remaining dividends of 2022 for shareholders</w:t>
            </w:r>
          </w:p>
        </w:tc>
      </w:tr>
      <w:tr w:rsidR="00177153" w14:paraId="55EBAE82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1E8A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73D57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8F0F3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0528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5th Meeting of the Board of Directors for the term 2023--2028.</w:t>
            </w:r>
          </w:p>
        </w:tc>
      </w:tr>
      <w:tr w:rsidR="00177153" w14:paraId="1CF9BDBD" w14:textId="77777777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29AE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8628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DBA8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Decisions</w:t>
            </w:r>
          </w:p>
        </w:tc>
      </w:tr>
      <w:tr w:rsidR="00177153" w14:paraId="187B22B3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0B65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F96F9" w14:textId="4166B9B7" w:rsidR="00177153" w:rsidRDefault="003D4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  <w:r w:rsidR="002E67FF">
              <w:rPr>
                <w:rFonts w:ascii="Arial" w:hAnsi="Arial"/>
                <w:color w:val="010000"/>
                <w:sz w:val="20"/>
              </w:rPr>
              <w:t>/QD-HDQT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F9BD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16,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B12C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person in charge of corporate governance (Ms. Vu Thi Thuy)</w:t>
            </w:r>
          </w:p>
        </w:tc>
      </w:tr>
      <w:tr w:rsidR="00177153" w14:paraId="10CE4E69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EE36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7A17E" w14:textId="2CCD6E45" w:rsidR="00177153" w:rsidRDefault="003D4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  <w:r w:rsidR="002E67FF">
              <w:rPr>
                <w:rFonts w:ascii="Arial" w:hAnsi="Arial"/>
                <w:color w:val="010000"/>
                <w:sz w:val="20"/>
              </w:rPr>
              <w:t>/QD-HDQT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B30E5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F9E0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for the Executive Board</w:t>
            </w:r>
          </w:p>
        </w:tc>
      </w:tr>
      <w:tr w:rsidR="00177153" w14:paraId="691760F1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2B9E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3CA9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17/QD-HDQT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092C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B701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audit company for the Financial Statements 2023</w:t>
            </w:r>
          </w:p>
        </w:tc>
      </w:tr>
      <w:tr w:rsidR="00177153" w14:paraId="5F4FC814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EE7C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F7B1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26/QD-HDQT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0FB9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05,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197F7" w14:textId="7BD83A64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detailed estimate for handling the incident of broken pistons controlling the rotating blades of the hyd</w:t>
            </w:r>
            <w:r w:rsidR="00714CAD">
              <w:rPr>
                <w:rFonts w:ascii="Arial" w:hAnsi="Arial"/>
                <w:color w:val="010000"/>
                <w:sz w:val="20"/>
              </w:rPr>
              <w:t>raulic turbine (pressure leak</w:t>
            </w:r>
            <w:r>
              <w:rPr>
                <w:rFonts w:ascii="Arial" w:hAnsi="Arial"/>
                <w:color w:val="010000"/>
                <w:sz w:val="20"/>
              </w:rPr>
              <w:t xml:space="preserve"> controlling the rotating blades) Group H2 -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Srok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Mieng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Hydropower Company Plant</w:t>
            </w:r>
          </w:p>
        </w:tc>
      </w:tr>
      <w:tr w:rsidR="00177153" w14:paraId="42E2D48A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B901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3A09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28/QD-HDQT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5943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381A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liquidate the fixed assets (110kV transmission line from 220kV transformer station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Long 2 to expansion compartment at 110kV transformer station Loc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)</w:t>
            </w:r>
          </w:p>
        </w:tc>
      </w:tr>
      <w:tr w:rsidR="00177153" w14:paraId="1615FD50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0945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892A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30/QD-HDQT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E9C22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21,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8962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settlement for handling the incident of broken pistons controlling the rotating blades of the hydraulic turbine (pressure leaking controlling the rotating blades) Group H2 -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Srok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Mieng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Hydropower Company Plant</w:t>
            </w:r>
          </w:p>
        </w:tc>
      </w:tr>
      <w:tr w:rsidR="00177153" w14:paraId="681AFA80" w14:textId="77777777" w:rsidTr="00714CAD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3AC0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C14D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31/QD-HDQT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9273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5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26D6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Fixed Asset Liquidation Council</w:t>
            </w:r>
          </w:p>
        </w:tc>
      </w:tr>
    </w:tbl>
    <w:p w14:paraId="6E08FFA7" w14:textId="1BB567D2" w:rsidR="00177153" w:rsidRDefault="002E67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Board;</w:t>
      </w:r>
    </w:p>
    <w:p w14:paraId="6A448CDF" w14:textId="77777777" w:rsidR="00177153" w:rsidRDefault="002E67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2501"/>
        <w:gridCol w:w="1398"/>
        <w:gridCol w:w="1035"/>
        <w:gridCol w:w="976"/>
        <w:gridCol w:w="2601"/>
      </w:tblGrid>
      <w:tr w:rsidR="00177153" w14:paraId="6FCB8475" w14:textId="77777777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D33B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67C47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A867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622F5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9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7D7A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 as a member of the Supervisory Board</w:t>
            </w:r>
          </w:p>
        </w:tc>
        <w:tc>
          <w:tcPr>
            <w:tcW w:w="2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9534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177153" w14:paraId="4BF4EE16" w14:textId="77777777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55DE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09293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Dang Thanh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4170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32FBF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2018</w:t>
            </w:r>
          </w:p>
        </w:tc>
        <w:tc>
          <w:tcPr>
            <w:tcW w:w="9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B7692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0A41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</w:tr>
      <w:tr w:rsidR="00177153" w14:paraId="14B01487" w14:textId="77777777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E9E02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0684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Truong Tien Dat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E26F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8C4A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2021</w:t>
            </w:r>
          </w:p>
        </w:tc>
        <w:tc>
          <w:tcPr>
            <w:tcW w:w="9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CA04C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E397B" w14:textId="2411C96F" w:rsidR="00177153" w:rsidRDefault="003D4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E67FF">
              <w:rPr>
                <w:rFonts w:ascii="Arial" w:hAnsi="Arial"/>
                <w:color w:val="010000"/>
                <w:sz w:val="20"/>
              </w:rPr>
              <w:t xml:space="preserve"> Finance and Banking, </w:t>
            </w: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E67FF">
              <w:rPr>
                <w:rFonts w:ascii="Arial" w:hAnsi="Arial"/>
                <w:color w:val="010000"/>
                <w:sz w:val="20"/>
              </w:rPr>
              <w:t xml:space="preserve"> Applied Accounting</w:t>
            </w:r>
          </w:p>
        </w:tc>
      </w:tr>
      <w:tr w:rsidR="00177153" w14:paraId="74F586B8" w14:textId="77777777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047A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9858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Tuan Anh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40D77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5796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  <w:tc>
          <w:tcPr>
            <w:tcW w:w="9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E4E7C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5D97E" w14:textId="3F229EB7" w:rsidR="00177153" w:rsidRDefault="003D4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E67FF">
              <w:rPr>
                <w:rFonts w:ascii="Arial" w:hAnsi="Arial"/>
                <w:color w:val="010000"/>
                <w:sz w:val="20"/>
              </w:rPr>
              <w:t xml:space="preserve"> Accounting and Auditing</w:t>
            </w:r>
          </w:p>
        </w:tc>
      </w:tr>
      <w:tr w:rsidR="00177153" w14:paraId="09ECD940" w14:textId="77777777">
        <w:tc>
          <w:tcPr>
            <w:tcW w:w="5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E39C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B67B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Tien Dung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71BA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Supervisory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C50F2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April 21, 2018</w:t>
            </w:r>
          </w:p>
        </w:tc>
        <w:tc>
          <w:tcPr>
            <w:tcW w:w="9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A431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  <w:tc>
          <w:tcPr>
            <w:tcW w:w="2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D51ED" w14:textId="75BBF9EA" w:rsidR="00177153" w:rsidRDefault="003D4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E67FF">
              <w:rPr>
                <w:rFonts w:ascii="Arial" w:hAnsi="Arial"/>
                <w:color w:val="010000"/>
                <w:sz w:val="20"/>
              </w:rPr>
              <w:t xml:space="preserve"> Finance - Banking</w:t>
            </w:r>
          </w:p>
        </w:tc>
      </w:tr>
    </w:tbl>
    <w:p w14:paraId="5E57324E" w14:textId="62504D68" w:rsidR="00177153" w:rsidRDefault="002E67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Executive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2184"/>
        <w:gridCol w:w="1569"/>
        <w:gridCol w:w="2907"/>
        <w:gridCol w:w="1885"/>
      </w:tblGrid>
      <w:tr w:rsidR="00177153" w14:paraId="1BD867B8" w14:textId="77777777" w:rsidTr="00714CAD">
        <w:tc>
          <w:tcPr>
            <w:tcW w:w="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1D42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55CC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5DC85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9AF0F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DBD0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an Executive Board member</w:t>
            </w:r>
          </w:p>
        </w:tc>
      </w:tr>
      <w:tr w:rsidR="00177153" w14:paraId="6D2E9B1B" w14:textId="77777777" w:rsidTr="00714CAD">
        <w:tc>
          <w:tcPr>
            <w:tcW w:w="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FB29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34643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Thanh Hoai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B586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1962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B15C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Irrigation engineer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01DA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2023</w:t>
            </w:r>
          </w:p>
        </w:tc>
      </w:tr>
      <w:tr w:rsidR="00177153" w14:paraId="3B47DC31" w14:textId="77777777" w:rsidTr="00714CA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15C4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E319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Hai Nam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0415F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13, 1979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8AE1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Electrification Engineer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C1E6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22, 2019</w:t>
            </w:r>
          </w:p>
        </w:tc>
      </w:tr>
    </w:tbl>
    <w:p w14:paraId="4ED71E3D" w14:textId="77777777" w:rsidR="00177153" w:rsidRDefault="002E67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2"/>
        <w:gridCol w:w="1733"/>
        <w:gridCol w:w="2968"/>
        <w:gridCol w:w="2094"/>
      </w:tblGrid>
      <w:tr w:rsidR="00177153" w14:paraId="60F0ED15" w14:textId="77777777" w:rsidTr="00714CAD"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FED38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C35C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7716D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7388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177153" w14:paraId="72FBE74C" w14:textId="77777777" w:rsidTr="00714CAD"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42E8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Thuy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89F3F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03, 1984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1F6F2" w14:textId="1CA7B580" w:rsidR="00177153" w:rsidRDefault="003D4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E67FF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2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B919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12, 2018</w:t>
            </w:r>
          </w:p>
        </w:tc>
      </w:tr>
    </w:tbl>
    <w:p w14:paraId="44E55255" w14:textId="77777777" w:rsidR="00177153" w:rsidRDefault="002E67FF" w:rsidP="00714C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VI. Training on corporate governance</w:t>
      </w:r>
    </w:p>
    <w:p w14:paraId="2C946D4F" w14:textId="201E7755" w:rsidR="00177153" w:rsidRDefault="002E67FF" w:rsidP="00714C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3D46A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</w:t>
      </w:r>
      <w:r w:rsidR="003D46A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itself:</w:t>
      </w:r>
    </w:p>
    <w:p w14:paraId="55322ECA" w14:textId="7697AE9E" w:rsidR="00177153" w:rsidRDefault="002E67FF" w:rsidP="00714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3D46A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714CAD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 and </w:t>
      </w:r>
      <w:r w:rsidR="003D46A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Attached appendix 2.</w:t>
      </w:r>
    </w:p>
    <w:p w14:paraId="0139D2FA" w14:textId="361A10ED" w:rsidR="00177153" w:rsidRDefault="002E67FF" w:rsidP="00714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3D46A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None.</w:t>
      </w:r>
    </w:p>
    <w:p w14:paraId="225F8143" w14:textId="77777777" w:rsidR="00177153" w:rsidRDefault="002E67FF" w:rsidP="00714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44EEA2E9" w14:textId="0DBF2A0E" w:rsidR="00177153" w:rsidRDefault="002E67FF" w:rsidP="00714C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where members of the Board of Directors, membe</w:t>
      </w:r>
      <w:r w:rsidR="00714CAD">
        <w:rPr>
          <w:rFonts w:ascii="Arial" w:hAnsi="Arial"/>
          <w:color w:val="010000"/>
          <w:sz w:val="20"/>
        </w:rPr>
        <w:t>rs of the Supervisory Board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3D46A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</w:t>
      </w:r>
      <w:r w:rsidR="00714CAD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have been founding members or member</w:t>
      </w:r>
      <w:r w:rsidR="00714CAD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3D46A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714CAD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None.</w:t>
      </w:r>
    </w:p>
    <w:p w14:paraId="11EC9323" w14:textId="016C5CE8" w:rsidR="00177153" w:rsidRDefault="002E67FF" w:rsidP="00714C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in which </w:t>
      </w:r>
      <w:r w:rsidR="003D46A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members of the Board of Directors, membe</w:t>
      </w:r>
      <w:r w:rsidR="00714CAD">
        <w:rPr>
          <w:rFonts w:ascii="Arial" w:hAnsi="Arial"/>
          <w:color w:val="010000"/>
          <w:sz w:val="20"/>
        </w:rPr>
        <w:t>rs of the Supervisory Board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3D46A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</w:t>
      </w:r>
      <w:r w:rsidR="00714CAD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</w:t>
      </w:r>
      <w:r w:rsidR="00714CAD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3D46A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3BD55046" w14:textId="11C2A1CF" w:rsidR="00177153" w:rsidRDefault="002E67FF" w:rsidP="00714C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Corporation (if any) that can bring about material or non-material benefits to members of the Board of Directors, member</w:t>
      </w:r>
      <w:r w:rsidR="00714CAD">
        <w:rPr>
          <w:rFonts w:ascii="Arial" w:hAnsi="Arial"/>
          <w:color w:val="010000"/>
          <w:sz w:val="20"/>
        </w:rPr>
        <w:t xml:space="preserve">s of the Supervisory Board or </w:t>
      </w:r>
      <w:r>
        <w:rPr>
          <w:rFonts w:ascii="Arial" w:hAnsi="Arial"/>
          <w:color w:val="010000"/>
          <w:sz w:val="20"/>
        </w:rPr>
        <w:t>Executive Manager (</w:t>
      </w:r>
      <w:r w:rsidR="003D46A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01756DDE" w14:textId="77777777" w:rsidR="00177153" w:rsidRDefault="002E67FF" w:rsidP="00714C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Share transactions of PDMR and related persons of PDMR:</w:t>
      </w:r>
    </w:p>
    <w:p w14:paraId="1104885C" w14:textId="7DEA4902" w:rsidR="00177153" w:rsidRDefault="002E67FF" w:rsidP="00714C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PDMR and </w:t>
      </w:r>
      <w:r w:rsidR="003D46A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for shares of listed companies: None.</w:t>
      </w:r>
    </w:p>
    <w:p w14:paraId="75EFF96D" w14:textId="77777777" w:rsidR="00177153" w:rsidRDefault="002E67FF" w:rsidP="00714C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significant issues: None. </w:t>
      </w:r>
    </w:p>
    <w:p w14:paraId="1240C54C" w14:textId="3FE29CAA" w:rsidR="00177153" w:rsidRDefault="002E67FF" w:rsidP="00714CA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Transactions between the Company and </w:t>
      </w:r>
      <w:r w:rsidR="003D46A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714CAD">
        <w:rPr>
          <w:rFonts w:ascii="Arial" w:hAnsi="Arial"/>
          <w:color w:val="010000"/>
          <w:sz w:val="20"/>
        </w:rPr>
        <w:t>Principal shareholder</w:t>
      </w:r>
      <w:r>
        <w:rPr>
          <w:rFonts w:ascii="Arial" w:hAnsi="Arial"/>
          <w:color w:val="010000"/>
          <w:sz w:val="20"/>
        </w:rPr>
        <w:t xml:space="preserve">s, PDMR and </w:t>
      </w:r>
      <w:r w:rsidR="003D46A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(Attached Report No. 01/BC-HDQT dated January 26, 2024)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1631"/>
        <w:gridCol w:w="722"/>
        <w:gridCol w:w="1399"/>
        <w:gridCol w:w="1371"/>
        <w:gridCol w:w="1365"/>
        <w:gridCol w:w="1411"/>
        <w:gridCol w:w="720"/>
      </w:tblGrid>
      <w:tr w:rsidR="00177153" w14:paraId="77E00AD2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DA5B0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A29CE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individual/institution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287A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AAD8A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No.*, Date of issue, Place of issue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076D9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C5C7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32D67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16D6F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177153" w14:paraId="7F31CA77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C0FC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617F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IDICO Corporation - JSC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13970" w14:textId="7F1C090C" w:rsidR="00177153" w:rsidRDefault="0071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5631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0302177966 issued on June 30, 2010 at Department of Planning and Investment of Ho Chi Minh City 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653C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151A Nguyen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Street, Vo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District 3, Ho Chi Minh City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9A409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6A88A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57,498,000,000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C839C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</w:tr>
      <w:tr w:rsidR="00177153" w14:paraId="010354F5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12C6B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1E20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REE Energy Company Limited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83819" w14:textId="67548E81" w:rsidR="00177153" w:rsidRDefault="0071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CFAF6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0316514160 issued on September 30, 2020 at Department of Planning and Investment of Ho Chi Minh City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48E14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364 Cong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Street, Ward 13, Tan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Ho Chi Minh City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B5F86" w14:textId="77777777" w:rsidR="00177153" w:rsidRDefault="0017715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C4B6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38,735,572,000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4AED1" w14:textId="77777777" w:rsidR="00177153" w:rsidRDefault="002E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</w:tr>
    </w:tbl>
    <w:p w14:paraId="77DEE3FD" w14:textId="77777777" w:rsidR="00177153" w:rsidRDefault="0017715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7715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84E"/>
    <w:multiLevelType w:val="multilevel"/>
    <w:tmpl w:val="CB1C6A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710A91"/>
    <w:multiLevelType w:val="multilevel"/>
    <w:tmpl w:val="3CE810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E0248E"/>
    <w:multiLevelType w:val="multilevel"/>
    <w:tmpl w:val="1D1075E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C2324B1"/>
    <w:multiLevelType w:val="multilevel"/>
    <w:tmpl w:val="918C4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5064"/>
    <w:multiLevelType w:val="multilevel"/>
    <w:tmpl w:val="837CC8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3421840"/>
    <w:multiLevelType w:val="multilevel"/>
    <w:tmpl w:val="F1C85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B02F8"/>
    <w:multiLevelType w:val="multilevel"/>
    <w:tmpl w:val="155A72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0D782B"/>
    <w:multiLevelType w:val="multilevel"/>
    <w:tmpl w:val="940CF610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40101"/>
    <w:multiLevelType w:val="multilevel"/>
    <w:tmpl w:val="6D9ED5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53"/>
    <w:rsid w:val="00177153"/>
    <w:rsid w:val="002C17B3"/>
    <w:rsid w:val="002E67FF"/>
    <w:rsid w:val="003D46A8"/>
    <w:rsid w:val="00426E1F"/>
    <w:rsid w:val="007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BD4C"/>
  <w15:docId w15:val="{175DEFEB-ADD1-409D-BC9D-C11B4D8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B6F7C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EB6F7C"/>
      <w:w w:val="6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color w:val="EB6F7C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302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line="286" w:lineRule="auto"/>
    </w:pPr>
    <w:rPr>
      <w:rFonts w:ascii="Arial" w:eastAsia="Arial" w:hAnsi="Arial" w:cs="Arial"/>
      <w:color w:val="EB6F7C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  <w:jc w:val="center"/>
    </w:pPr>
    <w:rPr>
      <w:rFonts w:ascii="Arial" w:eastAsia="Arial" w:hAnsi="Arial" w:cs="Arial"/>
      <w:b/>
      <w:bCs/>
      <w:color w:val="EB6F7C"/>
      <w:w w:val="60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ind w:firstLine="15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u10">
    <w:name w:val="Tiêu đề #1"/>
    <w:basedOn w:val="Normal"/>
    <w:link w:val="Tiu1"/>
    <w:pPr>
      <w:spacing w:line="175" w:lineRule="auto"/>
      <w:jc w:val="center"/>
      <w:outlineLvl w:val="0"/>
    </w:pPr>
    <w:rPr>
      <w:rFonts w:ascii="Arial" w:eastAsia="Arial" w:hAnsi="Arial" w:cs="Arial"/>
      <w:smallCaps/>
      <w:color w:val="EB6F7C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85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60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icoshp.vpt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lt0yvvBORY7WR5J3R3qZqQRsaA==">CgMxLjA4AHIhMVFvOF85blhqOGJvWlhVYVFQM2RaSzFrRzRyc0ZselB5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2024-02-01T09:36:00Z</dcterms:created>
  <dcterms:modified xsi:type="dcterms:W3CDTF">2024-02-01T09:36:00Z</dcterms:modified>
</cp:coreProperties>
</file>