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F51F" w14:textId="77777777" w:rsidR="0068326B" w:rsidRPr="00EA4C1E" w:rsidRDefault="00EA4C1E" w:rsidP="008152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A4C1E">
        <w:rPr>
          <w:rFonts w:ascii="Arial" w:hAnsi="Arial"/>
          <w:b/>
          <w:color w:val="010000"/>
          <w:sz w:val="20"/>
        </w:rPr>
        <w:t>KHW: Annual Corporate Governance Report 2023</w:t>
      </w:r>
    </w:p>
    <w:p w14:paraId="50B17F47" w14:textId="77777777" w:rsidR="0068326B" w:rsidRPr="00EA4C1E" w:rsidRDefault="00EA4C1E" w:rsidP="008152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 xml:space="preserve">On January 29, 2024, </w:t>
      </w:r>
      <w:proofErr w:type="spellStart"/>
      <w:r w:rsidRPr="00EA4C1E">
        <w:rPr>
          <w:rFonts w:ascii="Arial" w:hAnsi="Arial"/>
          <w:bCs/>
          <w:color w:val="010000"/>
          <w:sz w:val="20"/>
        </w:rPr>
        <w:t>Khanh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</w:t>
      </w:r>
      <w:proofErr w:type="spellStart"/>
      <w:r w:rsidRPr="00EA4C1E">
        <w:rPr>
          <w:rFonts w:ascii="Arial" w:hAnsi="Arial"/>
          <w:bCs/>
          <w:color w:val="010000"/>
          <w:sz w:val="20"/>
        </w:rPr>
        <w:t>Hoa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Water Supply and Sewerage Joint Stock Company announced Report No. 02/BC-HDQT on the corporate governance as follows:  </w:t>
      </w:r>
    </w:p>
    <w:p w14:paraId="446C988A" w14:textId="77777777" w:rsidR="0068326B" w:rsidRPr="00EA4C1E" w:rsidRDefault="00EA4C1E" w:rsidP="008152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 xml:space="preserve">Name of company: </w:t>
      </w:r>
      <w:proofErr w:type="spellStart"/>
      <w:r w:rsidRPr="00EA4C1E">
        <w:rPr>
          <w:rFonts w:ascii="Arial" w:hAnsi="Arial"/>
          <w:bCs/>
          <w:color w:val="010000"/>
          <w:sz w:val="20"/>
        </w:rPr>
        <w:t>Khanh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</w:t>
      </w:r>
      <w:proofErr w:type="spellStart"/>
      <w:r w:rsidRPr="00EA4C1E">
        <w:rPr>
          <w:rFonts w:ascii="Arial" w:hAnsi="Arial"/>
          <w:bCs/>
          <w:color w:val="010000"/>
          <w:sz w:val="20"/>
        </w:rPr>
        <w:t>Hoa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Water Supply and Sewerage Joint Stock Company</w:t>
      </w:r>
    </w:p>
    <w:p w14:paraId="1524C67E" w14:textId="509690DD" w:rsidR="0068326B" w:rsidRPr="00EA4C1E" w:rsidRDefault="00EA4C1E" w:rsidP="008152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Head office add</w:t>
      </w:r>
      <w:r w:rsidR="008152BE">
        <w:rPr>
          <w:rFonts w:ascii="Arial" w:hAnsi="Arial"/>
          <w:bCs/>
          <w:color w:val="010000"/>
          <w:sz w:val="20"/>
        </w:rPr>
        <w:t xml:space="preserve">ress: No 58 </w:t>
      </w:r>
      <w:proofErr w:type="spellStart"/>
      <w:r w:rsidR="008152BE">
        <w:rPr>
          <w:rFonts w:ascii="Arial" w:hAnsi="Arial"/>
          <w:bCs/>
          <w:color w:val="010000"/>
          <w:sz w:val="20"/>
        </w:rPr>
        <w:t>Yersin</w:t>
      </w:r>
      <w:proofErr w:type="spellEnd"/>
      <w:r w:rsidR="008152BE">
        <w:rPr>
          <w:rFonts w:ascii="Arial" w:hAnsi="Arial"/>
          <w:bCs/>
          <w:color w:val="010000"/>
          <w:sz w:val="20"/>
        </w:rPr>
        <w:t xml:space="preserve"> Road, Phuong Sai W</w:t>
      </w:r>
      <w:r w:rsidRPr="00EA4C1E">
        <w:rPr>
          <w:rFonts w:ascii="Arial" w:hAnsi="Arial"/>
          <w:bCs/>
          <w:color w:val="010000"/>
          <w:sz w:val="20"/>
        </w:rPr>
        <w:t xml:space="preserve">ard, </w:t>
      </w:r>
      <w:proofErr w:type="spellStart"/>
      <w:r w:rsidRPr="00EA4C1E">
        <w:rPr>
          <w:rFonts w:ascii="Arial" w:hAnsi="Arial"/>
          <w:bCs/>
          <w:color w:val="010000"/>
          <w:sz w:val="20"/>
        </w:rPr>
        <w:t>Nha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Trang city, </w:t>
      </w:r>
      <w:proofErr w:type="spellStart"/>
      <w:r w:rsidRPr="00EA4C1E">
        <w:rPr>
          <w:rFonts w:ascii="Arial" w:hAnsi="Arial"/>
          <w:bCs/>
          <w:color w:val="010000"/>
          <w:sz w:val="20"/>
        </w:rPr>
        <w:t>Khanh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</w:t>
      </w:r>
      <w:proofErr w:type="spellStart"/>
      <w:r w:rsidRPr="00EA4C1E">
        <w:rPr>
          <w:rFonts w:ascii="Arial" w:hAnsi="Arial"/>
          <w:bCs/>
          <w:color w:val="010000"/>
          <w:sz w:val="20"/>
        </w:rPr>
        <w:t>Hoa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province</w:t>
      </w:r>
    </w:p>
    <w:p w14:paraId="3EDF99E1" w14:textId="4A25B4A5" w:rsidR="0068326B" w:rsidRPr="00EA4C1E" w:rsidRDefault="00EA4C1E" w:rsidP="008152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2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Tel: 0258.3822315       Fax: 0258.</w:t>
      </w:r>
      <w:r w:rsidR="0016180C" w:rsidRPr="00EA4C1E">
        <w:rPr>
          <w:rFonts w:ascii="Arial" w:hAnsi="Arial"/>
          <w:bCs/>
          <w:color w:val="010000"/>
          <w:sz w:val="20"/>
        </w:rPr>
        <w:t>3810740; Email</w:t>
      </w:r>
      <w:r w:rsidRPr="00EA4C1E">
        <w:rPr>
          <w:rFonts w:ascii="Arial" w:hAnsi="Arial"/>
          <w:bCs/>
          <w:color w:val="010000"/>
          <w:sz w:val="20"/>
        </w:rPr>
        <w:t xml:space="preserve">: </w:t>
      </w:r>
      <w:hyperlink r:id="rId6">
        <w:r w:rsidRPr="00EA4C1E">
          <w:rPr>
            <w:rFonts w:ascii="Arial" w:hAnsi="Arial"/>
            <w:bCs/>
            <w:color w:val="010000"/>
            <w:sz w:val="20"/>
          </w:rPr>
          <w:t>support@ctnkh.com</w:t>
        </w:r>
      </w:hyperlink>
      <w:r w:rsidRPr="00EA4C1E">
        <w:rPr>
          <w:rFonts w:ascii="Arial" w:hAnsi="Arial"/>
          <w:bCs/>
          <w:color w:val="010000"/>
          <w:sz w:val="20"/>
        </w:rPr>
        <w:t>.vn</w:t>
      </w:r>
    </w:p>
    <w:p w14:paraId="231F18DE" w14:textId="77777777" w:rsidR="0068326B" w:rsidRPr="00EA4C1E" w:rsidRDefault="00EA4C1E" w:rsidP="008152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Charter capital: VND 285,999,960,000.</w:t>
      </w:r>
    </w:p>
    <w:p w14:paraId="7B09C51A" w14:textId="77777777" w:rsidR="0068326B" w:rsidRPr="00EA4C1E" w:rsidRDefault="00EA4C1E" w:rsidP="008152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Securities code: KHW</w:t>
      </w:r>
    </w:p>
    <w:p w14:paraId="40DB6916" w14:textId="77777777" w:rsidR="0068326B" w:rsidRPr="00EA4C1E" w:rsidRDefault="00EA4C1E" w:rsidP="008152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Corporate Governance Model:</w:t>
      </w:r>
    </w:p>
    <w:p w14:paraId="3C5B4789" w14:textId="46B5EDB6" w:rsidR="0068326B" w:rsidRPr="00EA4C1E" w:rsidRDefault="00EA4C1E" w:rsidP="008152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 xml:space="preserve">The </w:t>
      </w:r>
      <w:r w:rsidR="008152BE">
        <w:rPr>
          <w:rFonts w:ascii="Arial" w:hAnsi="Arial"/>
          <w:bCs/>
          <w:color w:val="010000"/>
          <w:sz w:val="20"/>
        </w:rPr>
        <w:t>General Meeting, Board of Directors, Supervisory Board and Managing Director</w:t>
      </w:r>
      <w:r w:rsidRPr="00EA4C1E">
        <w:rPr>
          <w:rFonts w:ascii="Arial" w:hAnsi="Arial"/>
          <w:bCs/>
          <w:color w:val="010000"/>
          <w:sz w:val="20"/>
        </w:rPr>
        <w:t>.</w:t>
      </w:r>
    </w:p>
    <w:p w14:paraId="14D424BE" w14:textId="77777777" w:rsidR="0068326B" w:rsidRPr="00EA4C1E" w:rsidRDefault="00EA4C1E" w:rsidP="008152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7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Implementation of the internal audit function:</w:t>
      </w:r>
    </w:p>
    <w:p w14:paraId="29925BED" w14:textId="3783E2F9" w:rsidR="0068326B" w:rsidRPr="00EA4C1E" w:rsidRDefault="00EA4C1E" w:rsidP="008152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 xml:space="preserve">Activities of the </w:t>
      </w:r>
      <w:r w:rsidR="008152BE">
        <w:rPr>
          <w:rFonts w:ascii="Arial" w:hAnsi="Arial"/>
          <w:bCs/>
          <w:color w:val="010000"/>
          <w:sz w:val="20"/>
        </w:rPr>
        <w:t>General Meeting</w:t>
      </w:r>
      <w:r w:rsidRPr="00EA4C1E">
        <w:rPr>
          <w:rFonts w:ascii="Arial" w:hAnsi="Arial"/>
          <w:bCs/>
          <w:color w:val="010000"/>
          <w:sz w:val="20"/>
        </w:rPr>
        <w:t>.</w:t>
      </w:r>
    </w:p>
    <w:p w14:paraId="6EDD50D6" w14:textId="7E19CA20" w:rsidR="0068326B" w:rsidRPr="00EA4C1E" w:rsidRDefault="00EA4C1E" w:rsidP="008152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 xml:space="preserve">Information about the meetings and General Mandates/Decisions of the </w:t>
      </w:r>
      <w:r w:rsidR="008152BE">
        <w:rPr>
          <w:rFonts w:ascii="Arial" w:hAnsi="Arial"/>
          <w:bCs/>
          <w:color w:val="010000"/>
          <w:sz w:val="20"/>
        </w:rPr>
        <w:t>General Meeting</w:t>
      </w:r>
      <w:r w:rsidRPr="00EA4C1E">
        <w:rPr>
          <w:rFonts w:ascii="Arial" w:hAnsi="Arial"/>
          <w:bCs/>
          <w:color w:val="010000"/>
          <w:sz w:val="20"/>
        </w:rPr>
        <w:t xml:space="preserve"> (including General Mandates approved by collecting shareholders' opinions via a ballot):</w:t>
      </w:r>
    </w:p>
    <w:p w14:paraId="3B73155B" w14:textId="03D60706" w:rsidR="0068326B" w:rsidRPr="00EA4C1E" w:rsidRDefault="00EA4C1E" w:rsidP="008152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 xml:space="preserve">The Company organized the Annual </w:t>
      </w:r>
      <w:r w:rsidR="008152BE">
        <w:rPr>
          <w:rFonts w:ascii="Arial" w:hAnsi="Arial"/>
          <w:bCs/>
          <w:color w:val="010000"/>
          <w:sz w:val="20"/>
        </w:rPr>
        <w:t>General Meeting</w:t>
      </w:r>
      <w:r w:rsidRPr="00EA4C1E">
        <w:rPr>
          <w:rFonts w:ascii="Arial" w:hAnsi="Arial"/>
          <w:bCs/>
          <w:color w:val="010000"/>
          <w:sz w:val="20"/>
        </w:rPr>
        <w:t xml:space="preserve"> 2023 on April 20, 2023, at the hall of </w:t>
      </w:r>
      <w:proofErr w:type="spellStart"/>
      <w:r w:rsidRPr="00EA4C1E">
        <w:rPr>
          <w:rFonts w:ascii="Arial" w:hAnsi="Arial"/>
          <w:bCs/>
          <w:color w:val="010000"/>
          <w:sz w:val="20"/>
        </w:rPr>
        <w:t>Khanh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</w:t>
      </w:r>
      <w:proofErr w:type="spellStart"/>
      <w:r w:rsidRPr="00EA4C1E">
        <w:rPr>
          <w:rFonts w:ascii="Arial" w:hAnsi="Arial"/>
          <w:bCs/>
          <w:color w:val="010000"/>
          <w:sz w:val="20"/>
        </w:rPr>
        <w:t>Hoa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Water Supply and Sewerage Joint Stock Company, No. 58 </w:t>
      </w:r>
      <w:proofErr w:type="spellStart"/>
      <w:r w:rsidRPr="00EA4C1E">
        <w:rPr>
          <w:rFonts w:ascii="Arial" w:hAnsi="Arial"/>
          <w:bCs/>
          <w:color w:val="010000"/>
          <w:sz w:val="20"/>
        </w:rPr>
        <w:t>Yersin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, Phuong Sai Ward, </w:t>
      </w:r>
      <w:proofErr w:type="spellStart"/>
      <w:r w:rsidRPr="00EA4C1E">
        <w:rPr>
          <w:rFonts w:ascii="Arial" w:hAnsi="Arial"/>
          <w:bCs/>
          <w:color w:val="010000"/>
          <w:sz w:val="20"/>
        </w:rPr>
        <w:t>Nha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Trang City, to report the production - business situation; the activities of the Board of Directors; the activities of the Supervisory Board and the proposals submitted to the </w:t>
      </w:r>
      <w:r w:rsidR="008152BE">
        <w:rPr>
          <w:rFonts w:ascii="Arial" w:hAnsi="Arial"/>
          <w:bCs/>
          <w:color w:val="010000"/>
          <w:sz w:val="20"/>
        </w:rPr>
        <w:t>General Meeting</w:t>
      </w:r>
      <w:r w:rsidRPr="00EA4C1E">
        <w:rPr>
          <w:rFonts w:ascii="Arial" w:hAnsi="Arial"/>
          <w:bCs/>
          <w:color w:val="010000"/>
          <w:sz w:val="20"/>
        </w:rPr>
        <w:t xml:space="preserve"> for approval on the issues under the authorities of the General Meeting.</w:t>
      </w:r>
    </w:p>
    <w:p w14:paraId="49072863" w14:textId="77777777" w:rsidR="0068326B" w:rsidRPr="00EA4C1E" w:rsidRDefault="00EA4C1E" w:rsidP="008152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5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Total number of shares with voting right: 28,599,996 shares</w:t>
      </w:r>
    </w:p>
    <w:p w14:paraId="32A5401F" w14:textId="77777777" w:rsidR="0068326B" w:rsidRPr="00EA4C1E" w:rsidRDefault="00EA4C1E" w:rsidP="008152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5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The total number of shareholders attending and authorizing others to attend: 302 shareholders</w:t>
      </w:r>
    </w:p>
    <w:p w14:paraId="0899BD28" w14:textId="31CF808B" w:rsidR="0068326B" w:rsidRPr="00EA4C1E" w:rsidRDefault="00EA4C1E" w:rsidP="008152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5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 xml:space="preserve">Equivalent to the number of shares of shareholders/persons authorized to attend the </w:t>
      </w:r>
      <w:r w:rsidR="008152BE">
        <w:rPr>
          <w:rFonts w:ascii="Arial" w:hAnsi="Arial"/>
          <w:bCs/>
          <w:color w:val="010000"/>
          <w:sz w:val="20"/>
        </w:rPr>
        <w:t>General Meeting</w:t>
      </w:r>
      <w:r w:rsidRPr="00EA4C1E">
        <w:rPr>
          <w:rFonts w:ascii="Arial" w:hAnsi="Arial"/>
          <w:bCs/>
          <w:color w:val="010000"/>
          <w:sz w:val="20"/>
        </w:rPr>
        <w:t xml:space="preserve">: 28,593,176 shares, accounting for 99.976% of total voting shares of </w:t>
      </w:r>
      <w:proofErr w:type="spellStart"/>
      <w:r w:rsidRPr="00EA4C1E">
        <w:rPr>
          <w:rFonts w:ascii="Arial" w:hAnsi="Arial"/>
          <w:bCs/>
          <w:color w:val="010000"/>
          <w:sz w:val="20"/>
        </w:rPr>
        <w:t>Khanh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</w:t>
      </w:r>
      <w:proofErr w:type="spellStart"/>
      <w:r w:rsidRPr="00EA4C1E">
        <w:rPr>
          <w:rFonts w:ascii="Arial" w:hAnsi="Arial"/>
          <w:bCs/>
          <w:color w:val="010000"/>
          <w:sz w:val="20"/>
        </w:rPr>
        <w:t>Hoa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Water Supply and Sewerage Joint Stock Company.</w:t>
      </w:r>
    </w:p>
    <w:p w14:paraId="0CFA5D7C" w14:textId="77777777" w:rsidR="0068326B" w:rsidRPr="00EA4C1E" w:rsidRDefault="00EA4C1E" w:rsidP="008152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lastRenderedPageBreak/>
        <w:t>All shareholders are eligible to attend the General Meeting.</w:t>
      </w:r>
    </w:p>
    <w:tbl>
      <w:tblPr>
        <w:tblStyle w:val="a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"/>
        <w:gridCol w:w="2650"/>
        <w:gridCol w:w="1749"/>
        <w:gridCol w:w="8531"/>
      </w:tblGrid>
      <w:tr w:rsidR="0068326B" w:rsidRPr="00EA4C1E" w14:paraId="4B0F388D" w14:textId="77777777">
        <w:tc>
          <w:tcPr>
            <w:tcW w:w="10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1092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821D7" w14:textId="53E49974" w:rsidR="0068326B" w:rsidRPr="00EA4C1E" w:rsidRDefault="008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 xml:space="preserve">General Mandate/Decision 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6E97B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85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7EC40" w14:textId="03DFE9DC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Content</w:t>
            </w:r>
            <w:r w:rsidR="008152BE">
              <w:rPr>
                <w:rFonts w:ascii="Arial" w:hAnsi="Arial"/>
                <w:bCs/>
                <w:color w:val="010000"/>
                <w:sz w:val="20"/>
              </w:rPr>
              <w:t>s</w:t>
            </w:r>
          </w:p>
        </w:tc>
      </w:tr>
      <w:tr w:rsidR="0068326B" w:rsidRPr="00EA4C1E" w14:paraId="6E2CD03E" w14:textId="77777777">
        <w:tc>
          <w:tcPr>
            <w:tcW w:w="10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9693E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01 </w:t>
            </w:r>
          </w:p>
        </w:tc>
        <w:tc>
          <w:tcPr>
            <w:tcW w:w="26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73833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No. 17/NQ-DHDCD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40412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April 20, 2023</w:t>
            </w:r>
          </w:p>
        </w:tc>
        <w:tc>
          <w:tcPr>
            <w:tcW w:w="85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D170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Annual General Mandate 2023 approved the following contents:</w:t>
            </w:r>
          </w:p>
          <w:p w14:paraId="414873DB" w14:textId="77777777" w:rsidR="0068326B" w:rsidRPr="00EA4C1E" w:rsidRDefault="00EA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Report on the production and business activities in 2022 and the production, business, and investment plan for 2023;</w:t>
            </w:r>
          </w:p>
          <w:p w14:paraId="13916104" w14:textId="77777777" w:rsidR="0068326B" w:rsidRPr="00EA4C1E" w:rsidRDefault="00EA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Report on activities of the Board of Directors in 2022;</w:t>
            </w:r>
          </w:p>
          <w:p w14:paraId="4B43A2BB" w14:textId="77777777" w:rsidR="0068326B" w:rsidRPr="00EA4C1E" w:rsidRDefault="00EA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Report on operation of the Supervisory Board in 2022;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br/>
              <w:t>- Proposal on the Audited Financial Statements 2022;</w:t>
            </w:r>
          </w:p>
          <w:p w14:paraId="7CC6B653" w14:textId="77777777" w:rsidR="0068326B" w:rsidRPr="00EA4C1E" w:rsidRDefault="00EA4C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Proposal on the profit distribution plan and the dividend payment rate of 2022 and the dividend payment plan for 2023;</w:t>
            </w:r>
          </w:p>
          <w:p w14:paraId="6E4D788C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- Proposal on the Report on remuneration settlement in 2022, paying remuneration of the Board of Directors, Supervisory Board, the Secretariat and internal governance in 2023.</w:t>
            </w:r>
          </w:p>
          <w:p w14:paraId="2D16905E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- Proposal on selecting an audit company to audit the Financial Statements 2023;</w:t>
            </w:r>
          </w:p>
          <w:p w14:paraId="55AD2337" w14:textId="30D3AD3C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- Proposal on amending the Company's Charter on organization and operation</w:t>
            </w:r>
            <w:r w:rsidR="008152BE">
              <w:rPr>
                <w:rFonts w:ascii="Arial" w:hAnsi="Arial"/>
                <w:bCs/>
                <w:color w:val="010000"/>
                <w:sz w:val="20"/>
              </w:rPr>
              <w:t>s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t>.</w:t>
            </w:r>
          </w:p>
        </w:tc>
      </w:tr>
    </w:tbl>
    <w:p w14:paraId="483DBD81" w14:textId="77777777" w:rsidR="0068326B" w:rsidRPr="00EA4C1E" w:rsidRDefault="00EA4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The Board of Directors (Annual Report 2023):</w:t>
      </w:r>
    </w:p>
    <w:p w14:paraId="039BD5C2" w14:textId="77777777" w:rsidR="0068326B" w:rsidRPr="00EA4C1E" w:rsidRDefault="00EA4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Information about members of the Board of Directors:</w:t>
      </w:r>
    </w:p>
    <w:tbl>
      <w:tblPr>
        <w:tblStyle w:val="a0"/>
        <w:tblW w:w="13948" w:type="dxa"/>
        <w:tblLayout w:type="fixed"/>
        <w:tblLook w:val="0400" w:firstRow="0" w:lastRow="0" w:firstColumn="0" w:lastColumn="0" w:noHBand="0" w:noVBand="1"/>
      </w:tblPr>
      <w:tblGrid>
        <w:gridCol w:w="834"/>
        <w:gridCol w:w="5005"/>
        <w:gridCol w:w="3546"/>
        <w:gridCol w:w="2357"/>
        <w:gridCol w:w="36"/>
        <w:gridCol w:w="2170"/>
      </w:tblGrid>
      <w:tr w:rsidR="0068326B" w:rsidRPr="00EA4C1E" w14:paraId="1D05CAD2" w14:textId="77777777"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4296E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5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60C0B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Member of the Board of Directors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8ECD9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45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2F535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68326B" w:rsidRPr="00EA4C1E" w14:paraId="71BFB065" w14:textId="77777777"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2A898" w14:textId="77777777" w:rsidR="0068326B" w:rsidRPr="00EA4C1E" w:rsidRDefault="0068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5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A7B93" w14:textId="77777777" w:rsidR="0068326B" w:rsidRPr="00EA4C1E" w:rsidRDefault="0068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3A4A1" w14:textId="77777777" w:rsidR="0068326B" w:rsidRPr="00EA4C1E" w:rsidRDefault="0068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F600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Appointment date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38E1D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Dismissal date</w:t>
            </w:r>
          </w:p>
        </w:tc>
      </w:tr>
      <w:tr w:rsidR="0068326B" w:rsidRPr="00EA4C1E" w14:paraId="53D165B7" w14:textId="77777777"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F05EF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1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37A5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Mr. Vu Van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83CC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Chair of the Board of Directors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FB55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April 20, 2019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BD259" w14:textId="77777777" w:rsidR="0068326B" w:rsidRPr="00EA4C1E" w:rsidRDefault="0068326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68326B" w:rsidRPr="00EA4C1E" w14:paraId="5646CC60" w14:textId="77777777"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7FEF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2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D0945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Mr. Nguyen Van Dam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9771A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Member of the Board of Directors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B14E2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April 20, 2019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D0648" w14:textId="77777777" w:rsidR="0068326B" w:rsidRPr="00EA4C1E" w:rsidRDefault="0068326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68326B" w:rsidRPr="00EA4C1E" w14:paraId="6861CEB5" w14:textId="77777777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B5F0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3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8AB4A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Mr. Nguyen Van Quan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00E85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Member of the Board of Directors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9FFF3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April 20, 2019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CDC06" w14:textId="77777777" w:rsidR="0068326B" w:rsidRPr="00EA4C1E" w:rsidRDefault="0068326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68326B" w:rsidRPr="00EA4C1E" w14:paraId="2E416C40" w14:textId="77777777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3F19D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4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8D12D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Mr. Truong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Khac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Hoanh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D8D95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D45A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April 16, 2021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4E350" w14:textId="77777777" w:rsidR="0068326B" w:rsidRPr="00EA4C1E" w:rsidRDefault="0068326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68326B" w:rsidRPr="00EA4C1E" w14:paraId="729CBC3F" w14:textId="77777777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2943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5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CC7F6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Mr. Nguyen Anh Tuan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01B3C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191CD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April 20, 2019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370D7" w14:textId="77777777" w:rsidR="0068326B" w:rsidRPr="00EA4C1E" w:rsidRDefault="0068326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01EEBC6B" w14:textId="0FEB925C" w:rsidR="0068326B" w:rsidRPr="00EA4C1E" w:rsidRDefault="00EA4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Board Resolutions/</w:t>
      </w:r>
      <w:r w:rsidR="0016180C">
        <w:rPr>
          <w:rFonts w:ascii="Arial" w:hAnsi="Arial"/>
          <w:bCs/>
          <w:color w:val="010000"/>
          <w:sz w:val="20"/>
          <w:lang w:val="vi-VN"/>
        </w:rPr>
        <w:t xml:space="preserve">Board </w:t>
      </w:r>
      <w:r w:rsidRPr="00EA4C1E">
        <w:rPr>
          <w:rFonts w:ascii="Arial" w:hAnsi="Arial"/>
          <w:bCs/>
          <w:color w:val="010000"/>
          <w:sz w:val="20"/>
        </w:rPr>
        <w:t>Decisions (Annual Report 2023):</w:t>
      </w:r>
    </w:p>
    <w:tbl>
      <w:tblPr>
        <w:tblStyle w:val="a1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"/>
        <w:gridCol w:w="2578"/>
        <w:gridCol w:w="2324"/>
        <w:gridCol w:w="8143"/>
      </w:tblGrid>
      <w:tr w:rsidR="0068326B" w:rsidRPr="00EA4C1E" w14:paraId="16FA3850" w14:textId="77777777">
        <w:tc>
          <w:tcPr>
            <w:tcW w:w="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F0E5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605A9" w14:textId="6EDD9E49" w:rsidR="0068326B" w:rsidRPr="00EA4C1E" w:rsidRDefault="00161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Board</w:t>
            </w:r>
            <w:r>
              <w:rPr>
                <w:rFonts w:ascii="Arial" w:hAnsi="Arial"/>
                <w:bCs/>
                <w:color w:val="010000"/>
                <w:sz w:val="20"/>
                <w:lang w:val="vi-VN"/>
              </w:rPr>
              <w:t xml:space="preserve"> </w:t>
            </w:r>
            <w:r w:rsidR="00EA4C1E" w:rsidRPr="00EA4C1E">
              <w:rPr>
                <w:rFonts w:ascii="Arial" w:hAnsi="Arial"/>
                <w:bCs/>
                <w:color w:val="010000"/>
                <w:sz w:val="20"/>
              </w:rPr>
              <w:t>Resolution/</w:t>
            </w:r>
            <w:r>
              <w:rPr>
                <w:rFonts w:ascii="Arial" w:hAnsi="Arial"/>
                <w:bCs/>
                <w:color w:val="010000"/>
                <w:sz w:val="20"/>
              </w:rPr>
              <w:t>Board</w:t>
            </w:r>
            <w:r>
              <w:rPr>
                <w:rFonts w:ascii="Arial" w:hAnsi="Arial"/>
                <w:bCs/>
                <w:color w:val="010000"/>
                <w:sz w:val="20"/>
                <w:lang w:val="vi-VN"/>
              </w:rPr>
              <w:t xml:space="preserve"> </w:t>
            </w:r>
            <w:r w:rsidR="008152BE">
              <w:rPr>
                <w:rFonts w:ascii="Arial" w:hAnsi="Arial"/>
                <w:bCs/>
                <w:color w:val="010000"/>
                <w:sz w:val="20"/>
              </w:rPr>
              <w:t xml:space="preserve">Decision </w:t>
            </w:r>
          </w:p>
        </w:tc>
        <w:tc>
          <w:tcPr>
            <w:tcW w:w="2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3FE03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475DB" w14:textId="470E396D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Content</w:t>
            </w:r>
            <w:r w:rsidR="008152BE">
              <w:rPr>
                <w:rFonts w:ascii="Arial" w:hAnsi="Arial"/>
                <w:bCs/>
                <w:color w:val="010000"/>
                <w:sz w:val="20"/>
              </w:rPr>
              <w:t>s</w:t>
            </w:r>
          </w:p>
        </w:tc>
      </w:tr>
      <w:tr w:rsidR="0068326B" w:rsidRPr="00EA4C1E" w14:paraId="5045E451" w14:textId="77777777">
        <w:tc>
          <w:tcPr>
            <w:tcW w:w="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F222B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01 </w:t>
            </w:r>
          </w:p>
        </w:tc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E7B94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04/NQ-HDQT</w:t>
            </w:r>
          </w:p>
        </w:tc>
        <w:tc>
          <w:tcPr>
            <w:tcW w:w="2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799D5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February 21, 2023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55BA3" w14:textId="77777777" w:rsidR="0068326B" w:rsidRPr="00EA4C1E" w:rsidRDefault="00EA4C1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Approve the plan on production, business and investment in capital construction for Q4/2022 and the year 2022;</w:t>
            </w:r>
          </w:p>
          <w:p w14:paraId="6669858E" w14:textId="77777777" w:rsidR="0068326B" w:rsidRPr="00EA4C1E" w:rsidRDefault="00EA4C1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Approve the plan on production, business and investment in capital construction for 2023.</w:t>
            </w:r>
          </w:p>
          <w:p w14:paraId="793596D6" w14:textId="77777777" w:rsidR="0068326B" w:rsidRPr="00EA4C1E" w:rsidRDefault="00EA4C1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Distributed profits in 2022:</w:t>
            </w:r>
          </w:p>
          <w:p w14:paraId="17E8926B" w14:textId="7FD8FEF5" w:rsidR="0068326B" w:rsidRPr="00EA4C1E" w:rsidRDefault="00EA4C1E" w:rsidP="008152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Other tasks: Plan on </w:t>
            </w:r>
            <w:r w:rsidR="008152BE">
              <w:rPr>
                <w:rFonts w:ascii="Arial" w:hAnsi="Arial"/>
                <w:bCs/>
                <w:color w:val="010000"/>
                <w:sz w:val="20"/>
              </w:rPr>
              <w:t>convenin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g the Annual </w:t>
            </w:r>
            <w:r w:rsidR="008152BE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2023, amending the Charter on organization and operation...</w:t>
            </w:r>
          </w:p>
        </w:tc>
      </w:tr>
      <w:tr w:rsidR="0068326B" w:rsidRPr="00EA4C1E" w14:paraId="74E47BF9" w14:textId="77777777">
        <w:tc>
          <w:tcPr>
            <w:tcW w:w="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4E24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02 </w:t>
            </w:r>
          </w:p>
        </w:tc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97204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05/NQ-HDQT</w:t>
            </w:r>
          </w:p>
        </w:tc>
        <w:tc>
          <w:tcPr>
            <w:tcW w:w="2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7F472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February 21, 2023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98FF4" w14:textId="23D35903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- Record list of shareholders attending the Annual </w:t>
            </w:r>
            <w:r w:rsidR="008152BE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</w:tc>
      </w:tr>
      <w:tr w:rsidR="0068326B" w:rsidRPr="00EA4C1E" w14:paraId="1A2DECE5" w14:textId="77777777">
        <w:tc>
          <w:tcPr>
            <w:tcW w:w="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4F4B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03 </w:t>
            </w:r>
          </w:p>
        </w:tc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D1B06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08/NQ-HDQT</w:t>
            </w:r>
          </w:p>
        </w:tc>
        <w:tc>
          <w:tcPr>
            <w:tcW w:w="2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2897A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March 28, 2023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0CE0F" w14:textId="778309AF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- Approve the contents of invitation letter and documents submitted to the Annual </w:t>
            </w:r>
            <w:r w:rsidR="008152BE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2023 </w:t>
            </w:r>
          </w:p>
        </w:tc>
      </w:tr>
      <w:tr w:rsidR="0068326B" w:rsidRPr="00EA4C1E" w14:paraId="3E4F8FA8" w14:textId="77777777">
        <w:trPr>
          <w:trHeight w:val="465"/>
        </w:trPr>
        <w:tc>
          <w:tcPr>
            <w:tcW w:w="90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5BFB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04 </w:t>
            </w:r>
          </w:p>
        </w:tc>
        <w:tc>
          <w:tcPr>
            <w:tcW w:w="257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7D378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21/NQ-HDQT</w:t>
            </w:r>
          </w:p>
        </w:tc>
        <w:tc>
          <w:tcPr>
            <w:tcW w:w="232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8B1A3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May 23, 2023</w:t>
            </w:r>
          </w:p>
        </w:tc>
        <w:tc>
          <w:tcPr>
            <w:tcW w:w="814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36440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Approve:</w:t>
            </w:r>
          </w:p>
          <w:p w14:paraId="2569C145" w14:textId="77777777" w:rsidR="0068326B" w:rsidRPr="00EA4C1E" w:rsidRDefault="00EA4C1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>Implement investment and renovation plans according to the approved list;</w:t>
            </w:r>
          </w:p>
          <w:p w14:paraId="65283B9F" w14:textId="77777777" w:rsidR="0068326B" w:rsidRPr="00EA4C1E" w:rsidRDefault="00EA4C1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Record time for dividend payment of 2022 in cash:</w:t>
            </w:r>
          </w:p>
          <w:p w14:paraId="53842E82" w14:textId="620231B7" w:rsidR="0068326B" w:rsidRPr="00EA4C1E" w:rsidRDefault="00EA4C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Supplement to the implementation plan 2023: equip with mud press machine for Vo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Canh</w:t>
            </w:r>
            <w:proofErr w:type="spellEnd"/>
            <w:r w:rsidR="008152BE">
              <w:rPr>
                <w:rFonts w:ascii="Arial" w:hAnsi="Arial"/>
                <w:bCs/>
                <w:color w:val="010000"/>
                <w:sz w:val="20"/>
              </w:rPr>
              <w:t xml:space="preserve"> Water Plant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t>;</w:t>
            </w:r>
          </w:p>
          <w:p w14:paraId="10F912B6" w14:textId="0159B4EF" w:rsidR="0068326B" w:rsidRPr="00EA4C1E" w:rsidRDefault="00EA4C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Other investment, management and executive tasks under the authority of </w:t>
            </w:r>
            <w:r w:rsidR="008152B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t>.</w:t>
            </w:r>
          </w:p>
        </w:tc>
      </w:tr>
      <w:tr w:rsidR="0068326B" w:rsidRPr="00EA4C1E" w14:paraId="033F5C89" w14:textId="77777777">
        <w:trPr>
          <w:trHeight w:val="264"/>
        </w:trPr>
        <w:tc>
          <w:tcPr>
            <w:tcW w:w="90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6FB13" w14:textId="77777777" w:rsidR="0068326B" w:rsidRPr="00EA4C1E" w:rsidRDefault="0068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AAF9C" w14:textId="77777777" w:rsidR="0068326B" w:rsidRPr="00EA4C1E" w:rsidRDefault="0068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232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FFE37" w14:textId="77777777" w:rsidR="0068326B" w:rsidRPr="00EA4C1E" w:rsidRDefault="0068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814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85847" w14:textId="77777777" w:rsidR="0068326B" w:rsidRPr="00EA4C1E" w:rsidRDefault="0068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68326B" w:rsidRPr="00EA4C1E" w14:paraId="103A42C3" w14:textId="77777777">
        <w:tc>
          <w:tcPr>
            <w:tcW w:w="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DA4D9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05 </w:t>
            </w:r>
          </w:p>
        </w:tc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9F1B3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24/NQ-HDQT</w:t>
            </w:r>
          </w:p>
        </w:tc>
        <w:tc>
          <w:tcPr>
            <w:tcW w:w="2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A3AD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June 22, 2023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029A3" w14:textId="4EE9A672" w:rsidR="0068326B" w:rsidRPr="00EA4C1E" w:rsidRDefault="00EA4C1E" w:rsidP="008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- Appoint personnel representative for the contributed capital and attend the Board of Directors, the Supervisory Board at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Suoi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Dau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Water Supply and Sewerage Construction Investment</w:t>
            </w:r>
            <w:r w:rsidR="008152BE">
              <w:rPr>
                <w:rFonts w:ascii="Arial" w:hAnsi="Arial"/>
                <w:bCs/>
                <w:color w:val="010000"/>
                <w:sz w:val="20"/>
              </w:rPr>
              <w:t xml:space="preserve"> Joint Stock Company (affiliate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t>), for the term 2023-2028</w:t>
            </w:r>
          </w:p>
        </w:tc>
      </w:tr>
      <w:tr w:rsidR="0068326B" w:rsidRPr="00EA4C1E" w14:paraId="4C1E36C4" w14:textId="77777777">
        <w:tc>
          <w:tcPr>
            <w:tcW w:w="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FDF93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06 </w:t>
            </w:r>
          </w:p>
        </w:tc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0CEBD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33/NQ-HDQT</w:t>
            </w:r>
          </w:p>
        </w:tc>
        <w:tc>
          <w:tcPr>
            <w:tcW w:w="2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7F54F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July 26, 2023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AD0EE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- Approve the record date to exercise the right to receive dividends of 2022 in cash.</w:t>
            </w:r>
          </w:p>
        </w:tc>
      </w:tr>
      <w:tr w:rsidR="0068326B" w:rsidRPr="00EA4C1E" w14:paraId="376B1381" w14:textId="77777777">
        <w:tc>
          <w:tcPr>
            <w:tcW w:w="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7E43B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07 </w:t>
            </w:r>
          </w:p>
        </w:tc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B7BE9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40/NQ-HDQT</w:t>
            </w:r>
          </w:p>
        </w:tc>
        <w:tc>
          <w:tcPr>
            <w:tcW w:w="2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D5045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August 24, 2023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D2A81" w14:textId="77777777" w:rsidR="0068326B" w:rsidRPr="00EA4C1E" w:rsidRDefault="00EA4C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Approve the results of production and business activities for Q2/2023 and the first 6 months of 2023;</w:t>
            </w:r>
          </w:p>
          <w:p w14:paraId="63D45C9F" w14:textId="77777777" w:rsidR="0068326B" w:rsidRPr="00EA4C1E" w:rsidRDefault="00EA4C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Approve the plan on production, business and investment in capital construction for Q3/2023 (according to approved list)</w:t>
            </w:r>
          </w:p>
          <w:p w14:paraId="64F21DB8" w14:textId="41E54334" w:rsidR="0068326B" w:rsidRPr="00EA4C1E" w:rsidRDefault="00EA4C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Other investment, management and executive tasks under the authority of </w:t>
            </w:r>
            <w:r w:rsidR="008152B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t>.</w:t>
            </w:r>
          </w:p>
        </w:tc>
      </w:tr>
      <w:tr w:rsidR="0068326B" w:rsidRPr="00EA4C1E" w14:paraId="355D12A8" w14:textId="77777777">
        <w:tc>
          <w:tcPr>
            <w:tcW w:w="9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818C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08 </w:t>
            </w:r>
          </w:p>
        </w:tc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B46C2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45/NQ-HDQT</w:t>
            </w:r>
          </w:p>
        </w:tc>
        <w:tc>
          <w:tcPr>
            <w:tcW w:w="23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670B8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October 30, 2023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F2095" w14:textId="77777777" w:rsidR="0068326B" w:rsidRPr="00EA4C1E" w:rsidRDefault="00EA4C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Approve the results of production and business activities for Q3/2023 and the first 9 months of 2023;</w:t>
            </w:r>
          </w:p>
          <w:p w14:paraId="32C1B086" w14:textId="77777777" w:rsidR="0068326B" w:rsidRPr="00EA4C1E" w:rsidRDefault="00EA4C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Approve the plan on production, business and investment in capital construction for Q4/2023 (according to approved list)</w:t>
            </w:r>
          </w:p>
          <w:p w14:paraId="4B9DC797" w14:textId="77777777" w:rsidR="0068326B" w:rsidRPr="00EA4C1E" w:rsidRDefault="00EA4C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Supplement pipelines DN100 and DN300 on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Dien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Bien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Phu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Road, implement in 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>Q4/2023;</w:t>
            </w:r>
          </w:p>
          <w:p w14:paraId="7EFECD8F" w14:textId="1F1B9AD9" w:rsidR="0068326B" w:rsidRPr="00EA4C1E" w:rsidRDefault="00EA4C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Equip with mud filter press machine for Vo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Canh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Water </w:t>
            </w:r>
            <w:r w:rsidR="008152BE">
              <w:rPr>
                <w:rFonts w:ascii="Arial" w:hAnsi="Arial"/>
                <w:bCs/>
                <w:color w:val="010000"/>
                <w:sz w:val="20"/>
              </w:rPr>
              <w:t>Plant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t>;</w:t>
            </w:r>
          </w:p>
          <w:p w14:paraId="1020E1C3" w14:textId="77777777" w:rsidR="0068326B" w:rsidRPr="00EA4C1E" w:rsidRDefault="00EA4C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Complete document D400 on Vo Nguyen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Giap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Road;</w:t>
            </w:r>
          </w:p>
          <w:p w14:paraId="58819E3A" w14:textId="4F6703D9" w:rsidR="0068326B" w:rsidRPr="00EA4C1E" w:rsidRDefault="00EA4C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Replace liquid chlorine disinfection with sodium hypochlorite at Vo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Canh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and Xuan Phong Water Supply; In Q4/2023, operating the disinfection system with sodium hypochlorite at Xuan Phong Water </w:t>
            </w:r>
            <w:r w:rsidR="008152BE">
              <w:rPr>
                <w:rFonts w:ascii="Arial" w:hAnsi="Arial"/>
                <w:bCs/>
                <w:color w:val="010000"/>
                <w:sz w:val="20"/>
              </w:rPr>
              <w:t>Plant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t>;</w:t>
            </w:r>
          </w:p>
          <w:p w14:paraId="7F9FED3C" w14:textId="7B9647D7" w:rsidR="0068326B" w:rsidRPr="00EA4C1E" w:rsidRDefault="00EA4C1E" w:rsidP="008152B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Other investment, management and administration activities fall under the authority of </w:t>
            </w:r>
            <w:r w:rsidR="008152BE">
              <w:rPr>
                <w:rFonts w:ascii="Arial" w:hAnsi="Arial"/>
                <w:bCs/>
                <w:color w:val="010000"/>
                <w:sz w:val="20"/>
              </w:rPr>
              <w:t>Managing Director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(</w:t>
            </w:r>
            <w:r w:rsidR="008152BE">
              <w:rPr>
                <w:rFonts w:ascii="Arial" w:hAnsi="Arial"/>
                <w:bCs/>
                <w:color w:val="010000"/>
                <w:sz w:val="20"/>
              </w:rPr>
              <w:t>under new laws and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the Company's Charter).</w:t>
            </w:r>
          </w:p>
        </w:tc>
      </w:tr>
    </w:tbl>
    <w:p w14:paraId="4EA1743F" w14:textId="6988360D" w:rsidR="0068326B" w:rsidRPr="00EA4C1E" w:rsidRDefault="00EA4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lastRenderedPageBreak/>
        <w:t>Supervisory Board (Annual Report 2023):</w:t>
      </w:r>
    </w:p>
    <w:p w14:paraId="22F57E17" w14:textId="77777777" w:rsidR="0068326B" w:rsidRPr="00EA4C1E" w:rsidRDefault="00EA4C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Information about members of the Supervisory Board:</w:t>
      </w:r>
    </w:p>
    <w:tbl>
      <w:tblPr>
        <w:tblStyle w:val="a2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4109"/>
        <w:gridCol w:w="2851"/>
        <w:gridCol w:w="2271"/>
        <w:gridCol w:w="3881"/>
      </w:tblGrid>
      <w:tr w:rsidR="0068326B" w:rsidRPr="00EA4C1E" w14:paraId="4E01D813" w14:textId="77777777">
        <w:tc>
          <w:tcPr>
            <w:tcW w:w="8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2ECBB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41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09A8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Member of the Supervisory Board</w:t>
            </w:r>
          </w:p>
        </w:tc>
        <w:tc>
          <w:tcPr>
            <w:tcW w:w="2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3EECC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Position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D013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Appointment date</w:t>
            </w:r>
          </w:p>
        </w:tc>
        <w:tc>
          <w:tcPr>
            <w:tcW w:w="3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3A305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</w:tr>
      <w:tr w:rsidR="0068326B" w:rsidRPr="00EA4C1E" w14:paraId="34A3BDC2" w14:textId="77777777">
        <w:tc>
          <w:tcPr>
            <w:tcW w:w="8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B220D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1 </w:t>
            </w:r>
          </w:p>
        </w:tc>
        <w:tc>
          <w:tcPr>
            <w:tcW w:w="41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61BB3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Mr. Hoang Long</w:t>
            </w:r>
          </w:p>
        </w:tc>
        <w:tc>
          <w:tcPr>
            <w:tcW w:w="2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166BD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Chief of the Supervisory Board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F29CA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April 20, 2019</w:t>
            </w:r>
          </w:p>
        </w:tc>
        <w:tc>
          <w:tcPr>
            <w:tcW w:w="3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30F02" w14:textId="5B9D19D0" w:rsidR="0068326B" w:rsidRPr="00EA4C1E" w:rsidRDefault="008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EA4C1E" w:rsidRPr="00EA4C1E">
              <w:rPr>
                <w:rFonts w:ascii="Arial" w:hAnsi="Arial"/>
                <w:bCs/>
                <w:color w:val="010000"/>
                <w:sz w:val="20"/>
              </w:rPr>
              <w:t xml:space="preserve"> Corporate Finance</w:t>
            </w:r>
          </w:p>
        </w:tc>
      </w:tr>
      <w:tr w:rsidR="0068326B" w:rsidRPr="00EA4C1E" w14:paraId="59DAE7D2" w14:textId="77777777">
        <w:tc>
          <w:tcPr>
            <w:tcW w:w="8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38309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2 </w:t>
            </w:r>
          </w:p>
        </w:tc>
        <w:tc>
          <w:tcPr>
            <w:tcW w:w="41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6B5A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Ms. Nguyen Thi Thuy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2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3A92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CFCB6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April 20, 2019</w:t>
            </w:r>
          </w:p>
        </w:tc>
        <w:tc>
          <w:tcPr>
            <w:tcW w:w="3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786CB" w14:textId="1751A8CE" w:rsidR="0068326B" w:rsidRPr="00EA4C1E" w:rsidRDefault="008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EA4C1E" w:rsidRPr="00EA4C1E">
              <w:rPr>
                <w:rFonts w:ascii="Arial" w:hAnsi="Arial"/>
                <w:bCs/>
                <w:color w:val="010000"/>
                <w:sz w:val="20"/>
              </w:rPr>
              <w:t xml:space="preserve"> Economics majoring in Business Accounting</w:t>
            </w:r>
          </w:p>
        </w:tc>
      </w:tr>
      <w:tr w:rsidR="0068326B" w:rsidRPr="00EA4C1E" w14:paraId="71589962" w14:textId="77777777">
        <w:tc>
          <w:tcPr>
            <w:tcW w:w="8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C4778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3 </w:t>
            </w:r>
          </w:p>
        </w:tc>
        <w:tc>
          <w:tcPr>
            <w:tcW w:w="41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E9AD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Mr. Quach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Vinh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2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5FDB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Member</w:t>
            </w:r>
          </w:p>
        </w:tc>
        <w:tc>
          <w:tcPr>
            <w:tcW w:w="2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2713A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April 16, 2021</w:t>
            </w:r>
          </w:p>
        </w:tc>
        <w:tc>
          <w:tcPr>
            <w:tcW w:w="3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E96B7" w14:textId="60F1A9EA" w:rsidR="0068326B" w:rsidRPr="00EA4C1E" w:rsidRDefault="008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EA4C1E" w:rsidRPr="00EA4C1E">
              <w:rPr>
                <w:rFonts w:ascii="Arial" w:hAnsi="Arial"/>
                <w:bCs/>
                <w:color w:val="010000"/>
                <w:sz w:val="20"/>
              </w:rPr>
              <w:t xml:space="preserve"> Economics</w:t>
            </w:r>
          </w:p>
        </w:tc>
      </w:tr>
    </w:tbl>
    <w:p w14:paraId="6F013990" w14:textId="664D9A3E" w:rsidR="0068326B" w:rsidRPr="00EA4C1E" w:rsidRDefault="00EA4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Executive Board</w:t>
      </w:r>
    </w:p>
    <w:tbl>
      <w:tblPr>
        <w:tblStyle w:val="a3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3"/>
        <w:gridCol w:w="3840"/>
        <w:gridCol w:w="2503"/>
        <w:gridCol w:w="3284"/>
        <w:gridCol w:w="3099"/>
      </w:tblGrid>
      <w:tr w:rsidR="0068326B" w:rsidRPr="00EA4C1E" w14:paraId="22BEA379" w14:textId="77777777">
        <w:tc>
          <w:tcPr>
            <w:tcW w:w="12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A37FC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27CF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Member of the Executive Board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0CEF8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0E5A0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  <w:tc>
          <w:tcPr>
            <w:tcW w:w="3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5E352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68326B" w:rsidRPr="00EA4C1E" w14:paraId="4B4B6424" w14:textId="77777777">
        <w:tc>
          <w:tcPr>
            <w:tcW w:w="12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214E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1 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8A162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Mr. Nguyen Van Dam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400AB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August 12, 1967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A98AD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Drainage engineer</w:t>
            </w:r>
          </w:p>
        </w:tc>
        <w:tc>
          <w:tcPr>
            <w:tcW w:w="3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02F1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April 20, 2019</w:t>
            </w:r>
          </w:p>
        </w:tc>
      </w:tr>
      <w:tr w:rsidR="0068326B" w:rsidRPr="00EA4C1E" w14:paraId="4BDB7E52" w14:textId="77777777">
        <w:tc>
          <w:tcPr>
            <w:tcW w:w="12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D8A4D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2 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F81EB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Mr. Vu Van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25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7D4F5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May 04, 1967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1AADF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Drainage engineer</w:t>
            </w:r>
          </w:p>
        </w:tc>
        <w:tc>
          <w:tcPr>
            <w:tcW w:w="3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50E1E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July 01, 2019</w:t>
            </w:r>
          </w:p>
        </w:tc>
      </w:tr>
      <w:tr w:rsidR="0068326B" w:rsidRPr="00EA4C1E" w14:paraId="4BADCBBC" w14:textId="77777777">
        <w:tc>
          <w:tcPr>
            <w:tcW w:w="12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9FF82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3 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BF165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Mr. Nguyen Hong Son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8A15B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August 10, 1964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30EF4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Drainage engineer</w:t>
            </w:r>
          </w:p>
        </w:tc>
        <w:tc>
          <w:tcPr>
            <w:tcW w:w="3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179E3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July 01, 2019</w:t>
            </w:r>
          </w:p>
        </w:tc>
      </w:tr>
      <w:tr w:rsidR="0068326B" w:rsidRPr="00EA4C1E" w14:paraId="2BD23B44" w14:textId="77777777">
        <w:tc>
          <w:tcPr>
            <w:tcW w:w="12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DD61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4 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A4429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Ms. Vo Thi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Khanh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25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5A7A5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June 12, 1969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D3B1D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Chemical Engineering and Food Technology Engineer</w:t>
            </w:r>
          </w:p>
        </w:tc>
        <w:tc>
          <w:tcPr>
            <w:tcW w:w="3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176AA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January 01, 2022</w:t>
            </w:r>
          </w:p>
        </w:tc>
      </w:tr>
    </w:tbl>
    <w:p w14:paraId="3B385B92" w14:textId="77777777" w:rsidR="0068326B" w:rsidRPr="00EA4C1E" w:rsidRDefault="00EA4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Chief Accountant</w:t>
      </w:r>
    </w:p>
    <w:tbl>
      <w:tblPr>
        <w:tblStyle w:val="a4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0"/>
        <w:gridCol w:w="3046"/>
        <w:gridCol w:w="3786"/>
        <w:gridCol w:w="4257"/>
      </w:tblGrid>
      <w:tr w:rsidR="0068326B" w:rsidRPr="00EA4C1E" w14:paraId="5FDE6E00" w14:textId="77777777">
        <w:tc>
          <w:tcPr>
            <w:tcW w:w="28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DCEE5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Full name</w:t>
            </w:r>
          </w:p>
        </w:tc>
        <w:tc>
          <w:tcPr>
            <w:tcW w:w="30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725BF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3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FE249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  <w:tc>
          <w:tcPr>
            <w:tcW w:w="42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8D273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Date of appointment /dismissal</w:t>
            </w:r>
          </w:p>
        </w:tc>
      </w:tr>
      <w:tr w:rsidR="0068326B" w:rsidRPr="00EA4C1E" w14:paraId="42CF1A35" w14:textId="77777777">
        <w:tc>
          <w:tcPr>
            <w:tcW w:w="28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EE93D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Mr. Nguyen Van Quan</w:t>
            </w:r>
          </w:p>
        </w:tc>
        <w:tc>
          <w:tcPr>
            <w:tcW w:w="30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6B0EF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April 22, 1972</w:t>
            </w:r>
          </w:p>
        </w:tc>
        <w:tc>
          <w:tcPr>
            <w:tcW w:w="37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EB0B2" w14:textId="3A5D80C4" w:rsidR="0068326B" w:rsidRPr="00EA4C1E" w:rsidRDefault="008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EA4C1E" w:rsidRPr="00EA4C1E">
              <w:rPr>
                <w:rFonts w:ascii="Arial" w:hAnsi="Arial"/>
                <w:bCs/>
                <w:color w:val="010000"/>
                <w:sz w:val="20"/>
              </w:rPr>
              <w:t xml:space="preserve"> Business Accounting</w:t>
            </w:r>
          </w:p>
        </w:tc>
        <w:tc>
          <w:tcPr>
            <w:tcW w:w="42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D5768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April 24, 2019</w:t>
            </w:r>
          </w:p>
        </w:tc>
      </w:tr>
    </w:tbl>
    <w:p w14:paraId="1E2D2C89" w14:textId="77777777" w:rsidR="0068326B" w:rsidRPr="00EA4C1E" w:rsidRDefault="00EA4C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Training on corporate governance</w:t>
      </w:r>
    </w:p>
    <w:p w14:paraId="46124FF9" w14:textId="256B906E" w:rsidR="0068326B" w:rsidRPr="00EA4C1E" w:rsidRDefault="00EA4C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 xml:space="preserve">List of </w:t>
      </w:r>
      <w:r w:rsidR="008152BE">
        <w:rPr>
          <w:rFonts w:ascii="Arial" w:hAnsi="Arial"/>
          <w:bCs/>
          <w:color w:val="010000"/>
          <w:sz w:val="20"/>
        </w:rPr>
        <w:t>related</w:t>
      </w:r>
      <w:r w:rsidRPr="00EA4C1E">
        <w:rPr>
          <w:rFonts w:ascii="Arial" w:hAnsi="Arial"/>
          <w:bCs/>
          <w:color w:val="010000"/>
          <w:sz w:val="20"/>
        </w:rPr>
        <w:t xml:space="preserve"> persons of the public company (Report of 2023) and transactions between </w:t>
      </w:r>
      <w:r w:rsidR="008152BE">
        <w:rPr>
          <w:rFonts w:ascii="Arial" w:hAnsi="Arial"/>
          <w:bCs/>
          <w:color w:val="010000"/>
          <w:sz w:val="20"/>
        </w:rPr>
        <w:t>related</w:t>
      </w:r>
      <w:r w:rsidRPr="00EA4C1E">
        <w:rPr>
          <w:rFonts w:ascii="Arial" w:hAnsi="Arial"/>
          <w:bCs/>
          <w:color w:val="010000"/>
          <w:sz w:val="20"/>
        </w:rPr>
        <w:t xml:space="preserve"> persons of the Company and the Company itself</w:t>
      </w:r>
    </w:p>
    <w:p w14:paraId="4792D2E2" w14:textId="6787A979" w:rsidR="0068326B" w:rsidRPr="00EA4C1E" w:rsidRDefault="00EA4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 xml:space="preserve">Transactions between the Company and </w:t>
      </w:r>
      <w:r w:rsidR="008152BE">
        <w:rPr>
          <w:rFonts w:ascii="Arial" w:hAnsi="Arial"/>
          <w:bCs/>
          <w:color w:val="010000"/>
          <w:sz w:val="20"/>
        </w:rPr>
        <w:t>related</w:t>
      </w:r>
      <w:r w:rsidRPr="00EA4C1E">
        <w:rPr>
          <w:rFonts w:ascii="Arial" w:hAnsi="Arial"/>
          <w:bCs/>
          <w:color w:val="010000"/>
          <w:sz w:val="20"/>
        </w:rPr>
        <w:t xml:space="preserve"> persons of the Company; or between the Company and </w:t>
      </w:r>
      <w:r w:rsidR="008152BE">
        <w:rPr>
          <w:rFonts w:ascii="Arial" w:hAnsi="Arial"/>
          <w:bCs/>
          <w:color w:val="010000"/>
          <w:sz w:val="20"/>
        </w:rPr>
        <w:t>principal</w:t>
      </w:r>
      <w:r w:rsidRPr="00EA4C1E">
        <w:rPr>
          <w:rFonts w:ascii="Arial" w:hAnsi="Arial"/>
          <w:bCs/>
          <w:color w:val="010000"/>
          <w:sz w:val="20"/>
        </w:rPr>
        <w:t xml:space="preserve"> shareholders, PDMR, </w:t>
      </w:r>
      <w:r w:rsidR="008152BE">
        <w:rPr>
          <w:rFonts w:ascii="Arial" w:hAnsi="Arial"/>
          <w:bCs/>
          <w:color w:val="010000"/>
          <w:sz w:val="20"/>
        </w:rPr>
        <w:t>related</w:t>
      </w:r>
      <w:r w:rsidRPr="00EA4C1E">
        <w:rPr>
          <w:rFonts w:ascii="Arial" w:hAnsi="Arial"/>
          <w:bCs/>
          <w:color w:val="010000"/>
          <w:sz w:val="20"/>
        </w:rPr>
        <w:t xml:space="preserve"> persons of PDMR:</w:t>
      </w:r>
    </w:p>
    <w:tbl>
      <w:tblPr>
        <w:tblStyle w:val="a5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8"/>
        <w:gridCol w:w="2269"/>
        <w:gridCol w:w="1881"/>
        <w:gridCol w:w="1415"/>
        <w:gridCol w:w="1163"/>
        <w:gridCol w:w="1668"/>
        <w:gridCol w:w="1643"/>
        <w:gridCol w:w="2578"/>
        <w:gridCol w:w="703"/>
      </w:tblGrid>
      <w:tr w:rsidR="0068326B" w:rsidRPr="00EA4C1E" w14:paraId="16CEB687" w14:textId="77777777">
        <w:tc>
          <w:tcPr>
            <w:tcW w:w="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0F04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DEABF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Name of organization/individual</w:t>
            </w:r>
          </w:p>
        </w:tc>
        <w:tc>
          <w:tcPr>
            <w:tcW w:w="1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361E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Relations with the Company</w:t>
            </w:r>
          </w:p>
        </w:tc>
        <w:tc>
          <w:tcPr>
            <w:tcW w:w="1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F9D73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26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NSH* No., date of issue, place of issue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8505E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Head office address /Contact address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00F46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Time of transaction with the Company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6C434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974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General Mandate/Decision of the General Meeting of Shareholder No. or Board Resolution/Decision No. (including date of promulgation, if any)</w:t>
            </w:r>
          </w:p>
        </w:tc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1B53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1CCE8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Note</w:t>
            </w:r>
          </w:p>
        </w:tc>
      </w:tr>
      <w:tr w:rsidR="0068326B" w:rsidRPr="00EA4C1E" w14:paraId="66845FE1" w14:textId="77777777">
        <w:tc>
          <w:tcPr>
            <w:tcW w:w="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D0F25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01 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AB777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Suoi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Dau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Water Supply 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>and Sewerage Construction Investment Joint Stock Company</w:t>
            </w:r>
          </w:p>
        </w:tc>
        <w:tc>
          <w:tcPr>
            <w:tcW w:w="18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D0C7A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The Company 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contribute 30% of the charter capital of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Suoi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Dau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Water Supply and Sewerage Construction Investment Joint Stock Company and appoint 02 representatives attending the Board of Directors and 01 representative attending the Supervisory Board.</w:t>
            </w:r>
          </w:p>
        </w:tc>
        <w:tc>
          <w:tcPr>
            <w:tcW w:w="141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4594B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78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NSH Code: 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4201574467, issued for the first time: September 27, 2013 at Department of Planning and Investment of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Khanh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Hoa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Province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27C33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No. 58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>Yersin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, Phuong Sai ward, </w:t>
            </w:r>
            <w:proofErr w:type="spellStart"/>
            <w:r w:rsidRPr="00EA4C1E">
              <w:rPr>
                <w:rFonts w:ascii="Arial" w:hAnsi="Arial"/>
                <w:bCs/>
                <w:color w:val="010000"/>
                <w:sz w:val="20"/>
              </w:rPr>
              <w:t>Nha</w:t>
            </w:r>
            <w:proofErr w:type="spellEnd"/>
            <w:r w:rsidRPr="00EA4C1E">
              <w:rPr>
                <w:rFonts w:ascii="Arial" w:hAnsi="Arial"/>
                <w:bCs/>
                <w:color w:val="010000"/>
                <w:sz w:val="20"/>
              </w:rPr>
              <w:t xml:space="preserve"> Trang city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35DDC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From October 01, 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>2022</w:t>
            </w:r>
          </w:p>
        </w:tc>
        <w:tc>
          <w:tcPr>
            <w:tcW w:w="16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496A3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Resolution No. 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>34/NQ-HDQT dated September 13, 2022</w:t>
            </w:r>
          </w:p>
        </w:tc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3E3A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 xml:space="preserve">Contract no. </w:t>
            </w:r>
            <w:r w:rsidRPr="00EA4C1E">
              <w:rPr>
                <w:rFonts w:ascii="Arial" w:hAnsi="Arial"/>
                <w:bCs/>
                <w:color w:val="010000"/>
                <w:sz w:val="20"/>
              </w:rPr>
              <w:lastRenderedPageBreak/>
              <w:t>51/2022/CTNKH-CTNSD on provision and consumption of clean water, unit rate: VND 5,910/m3 (not including VAT). Volume of water traded is based on consumption index on general water meter.</w:t>
            </w:r>
          </w:p>
          <w:p w14:paraId="53F0471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Water flow through the general water meter in 2023: 6,878,000 m3</w:t>
            </w:r>
          </w:p>
          <w:p w14:paraId="43E33E21" w14:textId="77777777" w:rsidR="0068326B" w:rsidRPr="00EA4C1E" w:rsidRDefault="00EA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EA4C1E">
              <w:rPr>
                <w:rFonts w:ascii="Arial" w:hAnsi="Arial"/>
                <w:bCs/>
                <w:color w:val="010000"/>
                <w:sz w:val="20"/>
              </w:rPr>
              <w:t>Transaction value: VND 40,648,980,000.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3417D" w14:textId="77777777" w:rsidR="0068326B" w:rsidRPr="00EA4C1E" w:rsidRDefault="0068326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7F5F2429" w14:textId="74AFFA8F" w:rsidR="0068326B" w:rsidRPr="00EA4C1E" w:rsidRDefault="00EA4C1E" w:rsidP="008152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24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lastRenderedPageBreak/>
        <w:t xml:space="preserve">Transactions between Company’s PDMR, </w:t>
      </w:r>
      <w:r w:rsidR="008152BE">
        <w:rPr>
          <w:rFonts w:ascii="Arial" w:hAnsi="Arial"/>
          <w:bCs/>
          <w:color w:val="010000"/>
          <w:sz w:val="20"/>
        </w:rPr>
        <w:t>related</w:t>
      </w:r>
      <w:r w:rsidRPr="00EA4C1E">
        <w:rPr>
          <w:rFonts w:ascii="Arial" w:hAnsi="Arial"/>
          <w:bCs/>
          <w:color w:val="010000"/>
          <w:sz w:val="20"/>
        </w:rPr>
        <w:t xml:space="preserve"> persons of PDMR and subsidiaries or companies controlled by the Company: None</w:t>
      </w:r>
    </w:p>
    <w:p w14:paraId="7FFB2889" w14:textId="77777777" w:rsidR="0068326B" w:rsidRPr="00EA4C1E" w:rsidRDefault="00EA4C1E" w:rsidP="008152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9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Transactions between the Company and other entities;</w:t>
      </w:r>
    </w:p>
    <w:p w14:paraId="614F027C" w14:textId="336F3707" w:rsidR="0068326B" w:rsidRPr="00EA4C1E" w:rsidRDefault="00EA4C1E" w:rsidP="008152B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61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>Transactions between the Company and the companies where members of the Board of Directors, membe</w:t>
      </w:r>
      <w:r w:rsidR="008152BE">
        <w:rPr>
          <w:rFonts w:ascii="Arial" w:hAnsi="Arial"/>
          <w:bCs/>
          <w:color w:val="010000"/>
          <w:sz w:val="20"/>
        </w:rPr>
        <w:t>rs of the Supervisory Board, Executive</w:t>
      </w:r>
      <w:r w:rsidRPr="00EA4C1E">
        <w:rPr>
          <w:rFonts w:ascii="Arial" w:hAnsi="Arial"/>
          <w:bCs/>
          <w:color w:val="010000"/>
          <w:sz w:val="20"/>
        </w:rPr>
        <w:t xml:space="preserve"> Manager (</w:t>
      </w:r>
      <w:r w:rsidR="008152BE">
        <w:rPr>
          <w:rFonts w:ascii="Arial" w:hAnsi="Arial"/>
          <w:bCs/>
          <w:color w:val="010000"/>
          <w:sz w:val="20"/>
        </w:rPr>
        <w:t>Managing Director</w:t>
      </w:r>
      <w:r w:rsidRPr="00EA4C1E">
        <w:rPr>
          <w:rFonts w:ascii="Arial" w:hAnsi="Arial"/>
          <w:bCs/>
          <w:color w:val="010000"/>
          <w:sz w:val="20"/>
        </w:rPr>
        <w:t>) and other managers have been founding members or members</w:t>
      </w:r>
      <w:r w:rsidR="008152BE">
        <w:rPr>
          <w:rFonts w:ascii="Arial" w:hAnsi="Arial"/>
          <w:bCs/>
          <w:color w:val="010000"/>
          <w:sz w:val="20"/>
        </w:rPr>
        <w:t xml:space="preserve"> of the Board of Directors or </w:t>
      </w:r>
      <w:r w:rsidRPr="00EA4C1E">
        <w:rPr>
          <w:rFonts w:ascii="Arial" w:hAnsi="Arial"/>
          <w:bCs/>
          <w:color w:val="010000"/>
          <w:sz w:val="20"/>
        </w:rPr>
        <w:t>Executive Manager (</w:t>
      </w:r>
      <w:r w:rsidR="008152BE">
        <w:rPr>
          <w:rFonts w:ascii="Arial" w:hAnsi="Arial"/>
          <w:bCs/>
          <w:color w:val="010000"/>
          <w:sz w:val="20"/>
        </w:rPr>
        <w:t>Managing Director</w:t>
      </w:r>
      <w:r w:rsidRPr="00EA4C1E">
        <w:rPr>
          <w:rFonts w:ascii="Arial" w:hAnsi="Arial"/>
          <w:bCs/>
          <w:color w:val="010000"/>
          <w:sz w:val="20"/>
        </w:rPr>
        <w:t xml:space="preserve">) for the past three (03) years (as at the </w:t>
      </w:r>
      <w:r w:rsidR="008152BE">
        <w:rPr>
          <w:rFonts w:ascii="Arial" w:hAnsi="Arial"/>
          <w:bCs/>
          <w:color w:val="010000"/>
          <w:sz w:val="20"/>
        </w:rPr>
        <w:t>date</w:t>
      </w:r>
      <w:r w:rsidRPr="00EA4C1E">
        <w:rPr>
          <w:rFonts w:ascii="Arial" w:hAnsi="Arial"/>
          <w:bCs/>
          <w:color w:val="010000"/>
          <w:sz w:val="20"/>
        </w:rPr>
        <w:t xml:space="preserve"> of reporting): On October 1, 2022, the Company signed Contract No. 51/2022/CTNKH-CTNSD on clean water consumption with </w:t>
      </w:r>
      <w:proofErr w:type="spellStart"/>
      <w:r w:rsidRPr="00EA4C1E">
        <w:rPr>
          <w:rFonts w:ascii="Arial" w:hAnsi="Arial"/>
          <w:bCs/>
          <w:color w:val="010000"/>
          <w:sz w:val="20"/>
        </w:rPr>
        <w:t>Suoi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</w:t>
      </w:r>
      <w:proofErr w:type="spellStart"/>
      <w:r w:rsidRPr="00EA4C1E">
        <w:rPr>
          <w:rFonts w:ascii="Arial" w:hAnsi="Arial"/>
          <w:bCs/>
          <w:color w:val="010000"/>
          <w:sz w:val="20"/>
        </w:rPr>
        <w:t>Dau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Water Supply and Sewerage Construction Investment Joint Stock Company, unit price: VND 5,910/m3 (not including VAT). Volume of water traded is based on consumption index on general water meter. This contract took effect from October 01, 2022. (The Company contribute 30% of the charter capital of </w:t>
      </w:r>
      <w:proofErr w:type="spellStart"/>
      <w:r w:rsidRPr="00EA4C1E">
        <w:rPr>
          <w:rFonts w:ascii="Arial" w:hAnsi="Arial"/>
          <w:bCs/>
          <w:color w:val="010000"/>
          <w:sz w:val="20"/>
        </w:rPr>
        <w:t>Suoi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</w:t>
      </w:r>
      <w:proofErr w:type="spellStart"/>
      <w:r w:rsidRPr="00EA4C1E">
        <w:rPr>
          <w:rFonts w:ascii="Arial" w:hAnsi="Arial"/>
          <w:bCs/>
          <w:color w:val="010000"/>
          <w:sz w:val="20"/>
        </w:rPr>
        <w:t>Dau</w:t>
      </w:r>
      <w:proofErr w:type="spellEnd"/>
      <w:r w:rsidRPr="00EA4C1E">
        <w:rPr>
          <w:rFonts w:ascii="Arial" w:hAnsi="Arial"/>
          <w:bCs/>
          <w:color w:val="010000"/>
          <w:sz w:val="20"/>
        </w:rPr>
        <w:t xml:space="preserve"> W</w:t>
      </w:r>
      <w:bookmarkStart w:id="0" w:name="_GoBack"/>
      <w:bookmarkEnd w:id="0"/>
      <w:r w:rsidRPr="00EA4C1E">
        <w:rPr>
          <w:rFonts w:ascii="Arial" w:hAnsi="Arial"/>
          <w:bCs/>
          <w:color w:val="010000"/>
          <w:sz w:val="20"/>
        </w:rPr>
        <w:t>ater Supply and Sewerage Construction Investment Joint Stock Company and appoint 02 representatives attending the Board of Directors and 01 representative attending the Supervisory Board).</w:t>
      </w:r>
    </w:p>
    <w:p w14:paraId="2F1F2C7C" w14:textId="1AE58D97" w:rsidR="0068326B" w:rsidRPr="00EA4C1E" w:rsidRDefault="00EA4C1E" w:rsidP="008152B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61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 xml:space="preserve">Transactions between the Company and companies executed by the </w:t>
      </w:r>
      <w:r w:rsidR="008152BE">
        <w:rPr>
          <w:rFonts w:ascii="Arial" w:hAnsi="Arial"/>
          <w:bCs/>
          <w:color w:val="010000"/>
          <w:sz w:val="20"/>
        </w:rPr>
        <w:t>related</w:t>
      </w:r>
      <w:r w:rsidRPr="00EA4C1E">
        <w:rPr>
          <w:rFonts w:ascii="Arial" w:hAnsi="Arial"/>
          <w:bCs/>
          <w:color w:val="010000"/>
          <w:sz w:val="20"/>
        </w:rPr>
        <w:t xml:space="preserve"> people of members of the Board of Directors, members of the Supervisory </w:t>
      </w:r>
      <w:r w:rsidR="008152BE">
        <w:rPr>
          <w:rFonts w:ascii="Arial" w:hAnsi="Arial"/>
          <w:bCs/>
          <w:color w:val="010000"/>
          <w:sz w:val="20"/>
        </w:rPr>
        <w:lastRenderedPageBreak/>
        <w:t>Board, Executive</w:t>
      </w:r>
      <w:r w:rsidRPr="00EA4C1E">
        <w:rPr>
          <w:rFonts w:ascii="Arial" w:hAnsi="Arial"/>
          <w:bCs/>
          <w:color w:val="010000"/>
          <w:sz w:val="20"/>
        </w:rPr>
        <w:t xml:space="preserve"> Manager (</w:t>
      </w:r>
      <w:r w:rsidR="008152BE">
        <w:rPr>
          <w:rFonts w:ascii="Arial" w:hAnsi="Arial"/>
          <w:bCs/>
          <w:color w:val="010000"/>
          <w:sz w:val="20"/>
        </w:rPr>
        <w:t>Managing Director</w:t>
      </w:r>
      <w:r w:rsidRPr="00EA4C1E">
        <w:rPr>
          <w:rFonts w:ascii="Arial" w:hAnsi="Arial"/>
          <w:bCs/>
          <w:color w:val="010000"/>
          <w:sz w:val="20"/>
        </w:rPr>
        <w:t>) and other managers who are member</w:t>
      </w:r>
      <w:r w:rsidR="008152BE">
        <w:rPr>
          <w:rFonts w:ascii="Arial" w:hAnsi="Arial"/>
          <w:bCs/>
          <w:color w:val="010000"/>
          <w:sz w:val="20"/>
        </w:rPr>
        <w:t>s of the Board of Directors or</w:t>
      </w:r>
      <w:r w:rsidRPr="00EA4C1E">
        <w:rPr>
          <w:rFonts w:ascii="Arial" w:hAnsi="Arial"/>
          <w:bCs/>
          <w:color w:val="010000"/>
          <w:sz w:val="20"/>
        </w:rPr>
        <w:t xml:space="preserve"> Executive Manager (</w:t>
      </w:r>
      <w:r w:rsidR="008152BE">
        <w:rPr>
          <w:rFonts w:ascii="Arial" w:hAnsi="Arial"/>
          <w:bCs/>
          <w:color w:val="010000"/>
          <w:sz w:val="20"/>
        </w:rPr>
        <w:t>Managing Director</w:t>
      </w:r>
      <w:r w:rsidRPr="00EA4C1E">
        <w:rPr>
          <w:rFonts w:ascii="Arial" w:hAnsi="Arial"/>
          <w:bCs/>
          <w:color w:val="010000"/>
          <w:sz w:val="20"/>
        </w:rPr>
        <w:t>). None</w:t>
      </w:r>
    </w:p>
    <w:p w14:paraId="59FA57EE" w14:textId="099483D8" w:rsidR="0068326B" w:rsidRPr="00EA4C1E" w:rsidRDefault="00EA4C1E" w:rsidP="008152B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61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 xml:space="preserve">Other transactions of the Company (if any) which can bring about material or non-material benefits to the members of the Board of Directors, the members of the Supervisory Board, </w:t>
      </w:r>
      <w:r w:rsidR="008152BE">
        <w:rPr>
          <w:rFonts w:ascii="Arial" w:hAnsi="Arial"/>
          <w:bCs/>
          <w:color w:val="010000"/>
          <w:sz w:val="20"/>
        </w:rPr>
        <w:t xml:space="preserve">Executive </w:t>
      </w:r>
      <w:r w:rsidRPr="00EA4C1E">
        <w:rPr>
          <w:rFonts w:ascii="Arial" w:hAnsi="Arial"/>
          <w:bCs/>
          <w:color w:val="010000"/>
          <w:sz w:val="20"/>
        </w:rPr>
        <w:t>Manager (</w:t>
      </w:r>
      <w:r w:rsidR="008152BE">
        <w:rPr>
          <w:rFonts w:ascii="Arial" w:hAnsi="Arial"/>
          <w:bCs/>
          <w:color w:val="010000"/>
          <w:sz w:val="20"/>
        </w:rPr>
        <w:t>Managing Director</w:t>
      </w:r>
      <w:r w:rsidRPr="00EA4C1E">
        <w:rPr>
          <w:rFonts w:ascii="Arial" w:hAnsi="Arial"/>
          <w:bCs/>
          <w:color w:val="010000"/>
          <w:sz w:val="20"/>
        </w:rPr>
        <w:t>) and other managers: None</w:t>
      </w:r>
    </w:p>
    <w:p w14:paraId="740C18DA" w14:textId="4D6B1A1F" w:rsidR="0068326B" w:rsidRPr="00EA4C1E" w:rsidRDefault="00EA4C1E" w:rsidP="008152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 xml:space="preserve">Share transactions of PDMR and </w:t>
      </w:r>
      <w:r w:rsidR="008152BE">
        <w:rPr>
          <w:rFonts w:ascii="Arial" w:hAnsi="Arial"/>
          <w:bCs/>
          <w:color w:val="010000"/>
          <w:sz w:val="20"/>
        </w:rPr>
        <w:t>related</w:t>
      </w:r>
      <w:r w:rsidRPr="00EA4C1E">
        <w:rPr>
          <w:rFonts w:ascii="Arial" w:hAnsi="Arial"/>
          <w:bCs/>
          <w:color w:val="010000"/>
          <w:sz w:val="20"/>
        </w:rPr>
        <w:t xml:space="preserve"> persons of PDMR (Report in 2023):</w:t>
      </w:r>
    </w:p>
    <w:p w14:paraId="0F2269C5" w14:textId="4D5B03EA" w:rsidR="0068326B" w:rsidRPr="00EA4C1E" w:rsidRDefault="00EA4C1E" w:rsidP="008152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73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EA4C1E">
        <w:rPr>
          <w:rFonts w:ascii="Arial" w:hAnsi="Arial"/>
          <w:bCs/>
          <w:color w:val="010000"/>
          <w:sz w:val="20"/>
        </w:rPr>
        <w:t xml:space="preserve">Transaction of PDMR and </w:t>
      </w:r>
      <w:r w:rsidR="008152BE">
        <w:rPr>
          <w:rFonts w:ascii="Arial" w:hAnsi="Arial"/>
          <w:bCs/>
          <w:color w:val="010000"/>
          <w:sz w:val="20"/>
        </w:rPr>
        <w:t>related</w:t>
      </w:r>
      <w:r w:rsidRPr="00EA4C1E">
        <w:rPr>
          <w:rFonts w:ascii="Arial" w:hAnsi="Arial"/>
          <w:bCs/>
          <w:color w:val="010000"/>
          <w:sz w:val="20"/>
        </w:rPr>
        <w:t xml:space="preserve"> persons related to the Company’s shares: None. Other significant issues: None</w:t>
      </w:r>
    </w:p>
    <w:sectPr w:rsidR="0068326B" w:rsidRPr="00EA4C1E">
      <w:pgSz w:w="16839" w:h="11907" w:orient="landscape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6D8"/>
    <w:multiLevelType w:val="multilevel"/>
    <w:tmpl w:val="64660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499B"/>
    <w:multiLevelType w:val="multilevel"/>
    <w:tmpl w:val="F8E06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934E5"/>
    <w:multiLevelType w:val="multilevel"/>
    <w:tmpl w:val="CABAE48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2449D9"/>
    <w:multiLevelType w:val="multilevel"/>
    <w:tmpl w:val="BBDA18BC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A624B4"/>
    <w:multiLevelType w:val="multilevel"/>
    <w:tmpl w:val="8B4EA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4BD7"/>
    <w:multiLevelType w:val="multilevel"/>
    <w:tmpl w:val="86B675EC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B2B24A4"/>
    <w:multiLevelType w:val="multilevel"/>
    <w:tmpl w:val="D8D055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2FC06A5"/>
    <w:multiLevelType w:val="multilevel"/>
    <w:tmpl w:val="32764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2082B"/>
    <w:multiLevelType w:val="multilevel"/>
    <w:tmpl w:val="132E2FA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E7478F8"/>
    <w:multiLevelType w:val="multilevel"/>
    <w:tmpl w:val="48A2CFE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4395DCF"/>
    <w:multiLevelType w:val="multilevel"/>
    <w:tmpl w:val="3F9EDB4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F114A3A"/>
    <w:multiLevelType w:val="multilevel"/>
    <w:tmpl w:val="D3AC09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1731814"/>
    <w:multiLevelType w:val="multilevel"/>
    <w:tmpl w:val="D1C616B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3012FA3"/>
    <w:multiLevelType w:val="multilevel"/>
    <w:tmpl w:val="917CDF9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8017F5D"/>
    <w:multiLevelType w:val="multilevel"/>
    <w:tmpl w:val="EECEFE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12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6B"/>
    <w:rsid w:val="0016180C"/>
    <w:rsid w:val="0068326B"/>
    <w:rsid w:val="008152BE"/>
    <w:rsid w:val="00E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0EAA"/>
  <w15:docId w15:val="{121FA588-3589-4C41-A436-38292E27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81C29"/>
      <w:sz w:val="18"/>
      <w:szCs w:val="1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C81C29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C81C29"/>
      <w:sz w:val="18"/>
      <w:szCs w:val="1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300" w:lineRule="auto"/>
      <w:ind w:firstLine="8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C81C29"/>
      <w:sz w:val="18"/>
      <w:szCs w:val="18"/>
    </w:rPr>
  </w:style>
  <w:style w:type="paragraph" w:customStyle="1" w:styleId="Tiu10">
    <w:name w:val="Tiêu đề #1"/>
    <w:basedOn w:val="Normal"/>
    <w:link w:val="Tiu1"/>
    <w:pPr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ctnk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iU6dVMMySRHs+TQP/eMXVl1N3g==">CgMxLjA4AHIhMVAtazRnQ21IMjkwUy1ST3A0R1ZyRXd6T2QzUmZiRzZa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2024-02-01T09:49:00Z</dcterms:created>
  <dcterms:modified xsi:type="dcterms:W3CDTF">2024-02-01T09:49:00Z</dcterms:modified>
</cp:coreProperties>
</file>