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5F" w:rsidRDefault="00C71C41" w:rsidP="003874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LCM: Annual Corporate Governance 2023</w:t>
      </w:r>
    </w:p>
    <w:p w:rsidR="0066225F" w:rsidRDefault="00C71C41" w:rsidP="003874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Lao Cai Mineral Exploitation &amp; Processing Joint Stock Company announced Report No. 02/BC-LCM on corporate governance in 2023 as follows: </w:t>
      </w:r>
    </w:p>
    <w:p w:rsidR="0066225F" w:rsidRDefault="00C71C41" w:rsidP="003874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Lao Cai Mineral Exploitation &amp; Processing</w:t>
      </w:r>
      <w:r>
        <w:rPr>
          <w:rFonts w:ascii="Arial" w:hAnsi="Arial"/>
          <w:color w:val="010000"/>
          <w:sz w:val="20"/>
        </w:rPr>
        <w:t xml:space="preserve"> Joint Stock Company</w:t>
      </w:r>
    </w:p>
    <w:p w:rsidR="0066225F" w:rsidRDefault="00C71C41" w:rsidP="003874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28B, Phan Dinh </w:t>
      </w:r>
      <w:proofErr w:type="spellStart"/>
      <w:r>
        <w:rPr>
          <w:rFonts w:ascii="Arial" w:hAnsi="Arial"/>
          <w:color w:val="010000"/>
          <w:sz w:val="20"/>
        </w:rPr>
        <w:t>Giot</w:t>
      </w:r>
      <w:proofErr w:type="spellEnd"/>
      <w:r>
        <w:rPr>
          <w:rFonts w:ascii="Arial" w:hAnsi="Arial"/>
          <w:color w:val="010000"/>
          <w:sz w:val="20"/>
        </w:rPr>
        <w:t xml:space="preserve"> Street, Lao Cai Ward, Lao Cai City, Lao Cai Province </w:t>
      </w:r>
    </w:p>
    <w:p w:rsidR="0066225F" w:rsidRDefault="00C71C41" w:rsidP="003874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-Tel: 0214.383.0036 </w:t>
      </w:r>
      <w:r>
        <w:rPr>
          <w:rFonts w:ascii="Arial" w:hAnsi="Arial"/>
          <w:color w:val="010000"/>
          <w:sz w:val="20"/>
        </w:rPr>
        <w:tab/>
        <w:t xml:space="preserve">    Fax: 0214.383.0036;</w:t>
      </w:r>
    </w:p>
    <w:p w:rsidR="0066225F" w:rsidRDefault="00C71C41" w:rsidP="003874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246,330,000,000</w:t>
      </w:r>
    </w:p>
    <w:p w:rsidR="0066225F" w:rsidRDefault="00C71C41" w:rsidP="003874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LCM</w:t>
      </w:r>
    </w:p>
    <w:p w:rsidR="0066225F" w:rsidRDefault="00C71C41" w:rsidP="003874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:rsidR="0066225F" w:rsidRDefault="00C71C41" w:rsidP="003874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38748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Board of Directors, Supervisory Board and </w:t>
      </w:r>
      <w:r w:rsidR="003874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:rsidR="0066225F" w:rsidRDefault="00C71C41" w:rsidP="003874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>
        <w:rPr>
          <w:rFonts w:ascii="Arial" w:hAnsi="Arial"/>
          <w:color w:val="010000"/>
          <w:sz w:val="20"/>
        </w:rPr>
        <w:t>:</w:t>
      </w:r>
    </w:p>
    <w:p w:rsidR="0066225F" w:rsidRDefault="00C71C41" w:rsidP="003874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38748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:rsidR="0066225F" w:rsidRDefault="00C71C41" w:rsidP="003874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38748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387482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4894"/>
        <w:gridCol w:w="2308"/>
        <w:gridCol w:w="5502"/>
      </w:tblGrid>
      <w:tr w:rsidR="0066225F">
        <w:tc>
          <w:tcPr>
            <w:tcW w:w="12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</w:t>
            </w:r>
            <w:r w:rsidR="006D1BB0">
              <w:rPr>
                <w:rFonts w:ascii="Arial" w:hAnsi="Arial"/>
                <w:color w:val="010000"/>
                <w:sz w:val="20"/>
                <w:lang w:val="vi-VN"/>
              </w:rPr>
              <w:t xml:space="preserve"> of the </w:t>
            </w:r>
            <w:r w:rsidR="00387482">
              <w:rPr>
                <w:rFonts w:ascii="Arial" w:hAnsi="Arial"/>
                <w:color w:val="010000"/>
                <w:sz w:val="20"/>
                <w:lang w:val="vi-VN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No.</w:t>
            </w:r>
          </w:p>
        </w:tc>
        <w:tc>
          <w:tcPr>
            <w:tcW w:w="23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66225F">
        <w:trPr>
          <w:trHeight w:val="5415"/>
        </w:trPr>
        <w:tc>
          <w:tcPr>
            <w:tcW w:w="12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lastRenderedPageBreak/>
              <w:t xml:space="preserve">1 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01/NQ-DHDCD</w:t>
            </w:r>
          </w:p>
        </w:tc>
        <w:tc>
          <w:tcPr>
            <w:tcW w:w="23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Annual </w:t>
            </w:r>
            <w:r w:rsidR="0038748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approved: (1) Report of the Board of Managers; (2) Report of the Board of Directors; (3) Report of the Supervisory Board;(4) The approval of the Audited Financial Statements 2022; (5) The approval of authorizing the Board of Directors to select an au</w:t>
            </w:r>
            <w:r>
              <w:rPr>
                <w:rFonts w:ascii="Arial" w:hAnsi="Arial"/>
                <w:color w:val="010000"/>
                <w:sz w:val="20"/>
              </w:rPr>
              <w:t xml:space="preserve">dit company for the Financial Statements 2023; (6) The approval of business results in 2022 and business plan for 2023; (7) The approval of authorizing the Board of Directors to decide on a number of contents within the authority of the </w:t>
            </w:r>
            <w:r w:rsidR="0038748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>; (8) R</w:t>
            </w:r>
            <w:r>
              <w:rPr>
                <w:rFonts w:ascii="Arial" w:hAnsi="Arial"/>
                <w:color w:val="010000"/>
                <w:sz w:val="20"/>
              </w:rPr>
              <w:t>emuneration plan for the Board of Directors and Supervisory Board in 2023;</w:t>
            </w:r>
          </w:p>
          <w:p w:rsidR="0066225F" w:rsidRDefault="0066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66225F" w:rsidRDefault="00C71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(1 year):</w:t>
      </w:r>
    </w:p>
    <w:p w:rsidR="0066225F" w:rsidRDefault="00C71C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13949" w:type="dxa"/>
        <w:tblLayout w:type="fixed"/>
        <w:tblLook w:val="0400" w:firstRow="0" w:lastRow="0" w:firstColumn="0" w:lastColumn="0" w:noHBand="0" w:noVBand="1"/>
      </w:tblPr>
      <w:tblGrid>
        <w:gridCol w:w="1030"/>
        <w:gridCol w:w="2469"/>
        <w:gridCol w:w="3236"/>
        <w:gridCol w:w="3498"/>
        <w:gridCol w:w="3716"/>
      </w:tblGrid>
      <w:tr w:rsidR="0066225F"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Position (independent member, </w:t>
            </w:r>
            <w:r>
              <w:rPr>
                <w:rFonts w:ascii="Arial" w:hAnsi="Arial"/>
                <w:color w:val="010000"/>
                <w:sz w:val="20"/>
              </w:rPr>
              <w:t>non-executive member of the Board of Directors)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66225F"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66225F"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225F"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Duc </w:t>
            </w:r>
            <w:r>
              <w:rPr>
                <w:rFonts w:ascii="Arial" w:hAnsi="Arial"/>
                <w:color w:val="010000"/>
                <w:sz w:val="20"/>
              </w:rPr>
              <w:t>Thang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2016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225F"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Ngo Truong An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14, 2014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225F"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Hoang Quoc Tung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Independent, non-executive member of the Board of Directors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225F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Thanh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Independent, </w:t>
            </w: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622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66225F" w:rsidRDefault="00C71C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6D1BB0">
        <w:rPr>
          <w:rFonts w:ascii="Arial" w:hAnsi="Arial"/>
          <w:color w:val="010000"/>
          <w:sz w:val="20"/>
          <w:lang w:val="vi-VN"/>
        </w:rPr>
        <w:t xml:space="preserve">Board </w:t>
      </w:r>
      <w:r>
        <w:rPr>
          <w:rFonts w:ascii="Arial" w:hAnsi="Arial"/>
          <w:color w:val="010000"/>
          <w:sz w:val="20"/>
        </w:rPr>
        <w:t>Decisions (2023):</w:t>
      </w:r>
    </w:p>
    <w:tbl>
      <w:tblPr>
        <w:tblStyle w:val="a1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4324"/>
        <w:gridCol w:w="2896"/>
        <w:gridCol w:w="5270"/>
      </w:tblGrid>
      <w:tr w:rsidR="0066225F"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6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</w:t>
            </w:r>
            <w:r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Resolution/Board</w:t>
            </w:r>
            <w:r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 w:rsidR="00C71C41">
              <w:rPr>
                <w:rFonts w:ascii="Arial" w:hAnsi="Arial"/>
                <w:color w:val="010000"/>
                <w:sz w:val="20"/>
              </w:rPr>
              <w:t>Decision</w:t>
            </w:r>
          </w:p>
        </w:tc>
        <w:tc>
          <w:tcPr>
            <w:tcW w:w="28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66225F"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Pr="006D1BB0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1BB0">
              <w:rPr>
                <w:rFonts w:ascii="Arial" w:hAnsi="Arial"/>
                <w:color w:val="010000"/>
                <w:sz w:val="20"/>
              </w:rPr>
              <w:t xml:space="preserve">1 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28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 w:rsidP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Extend the convening date of</w:t>
            </w:r>
            <w:r>
              <w:rPr>
                <w:rFonts w:ascii="Arial" w:hAnsi="Arial"/>
                <w:color w:val="010000"/>
                <w:sz w:val="20"/>
              </w:rPr>
              <w:t xml:space="preserve"> the Annual </w:t>
            </w:r>
            <w:r w:rsidR="0038748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66225F"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28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Convene</w:t>
            </w:r>
            <w:r>
              <w:rPr>
                <w:rFonts w:ascii="Arial" w:hAnsi="Arial"/>
                <w:color w:val="010000"/>
                <w:sz w:val="20"/>
              </w:rPr>
              <w:t xml:space="preserve"> the Annual </w:t>
            </w:r>
            <w:r w:rsidR="0038748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66225F"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28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for the fiscal year 2023</w:t>
            </w:r>
          </w:p>
        </w:tc>
      </w:tr>
      <w:tr w:rsidR="0066225F"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</w:t>
            </w:r>
          </w:p>
        </w:tc>
        <w:tc>
          <w:tcPr>
            <w:tcW w:w="28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partial divestment of capital contribution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Limited</w:t>
            </w:r>
          </w:p>
        </w:tc>
      </w:tr>
    </w:tbl>
    <w:p w:rsidR="0066225F" w:rsidRDefault="00C71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(Report of the year)</w:t>
      </w:r>
    </w:p>
    <w:p w:rsidR="0066225F" w:rsidRDefault="00C71C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"/>
        <w:gridCol w:w="3222"/>
        <w:gridCol w:w="1992"/>
        <w:gridCol w:w="5206"/>
        <w:gridCol w:w="2461"/>
      </w:tblGrid>
      <w:tr w:rsidR="0066225F"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</w:t>
            </w:r>
            <w:r>
              <w:rPr>
                <w:rFonts w:ascii="Arial" w:hAnsi="Arial"/>
                <w:color w:val="010000"/>
                <w:sz w:val="20"/>
              </w:rPr>
              <w:t>appointment/dismissal as member of the Supervisory Board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66225F"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Nhu Ngoc Quang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 the Supervisory Board</w:t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2019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66225F"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Supervisory Board</w:t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May 20, 2016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66225F"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r>
              <w:rPr>
                <w:rFonts w:ascii="Arial" w:hAnsi="Arial"/>
                <w:color w:val="010000"/>
                <w:sz w:val="20"/>
              </w:rPr>
              <w:t>Nguyen Van Tuan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2022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</w:tbl>
    <w:p w:rsidR="0066225F" w:rsidRDefault="00C71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828"/>
        <w:gridCol w:w="2519"/>
        <w:gridCol w:w="3303"/>
        <w:gridCol w:w="3044"/>
      </w:tblGrid>
      <w:tr w:rsidR="0066225F">
        <w:tc>
          <w:tcPr>
            <w:tcW w:w="1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66225F">
        <w:tc>
          <w:tcPr>
            <w:tcW w:w="1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Pr="006D1BB0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1BB0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Duc Thang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</w:t>
            </w:r>
            <w:r>
              <w:rPr>
                <w:rFonts w:ascii="Arial" w:hAnsi="Arial"/>
                <w:color w:val="010000"/>
                <w:sz w:val="20"/>
              </w:rPr>
              <w:t>30, 1979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Telecommunication - Electronic Engineering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2016</w:t>
            </w:r>
          </w:p>
        </w:tc>
      </w:tr>
      <w:tr w:rsidR="0066225F">
        <w:tc>
          <w:tcPr>
            <w:tcW w:w="1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Pr="006D1BB0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1BB0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Ngo Truong An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07, 1985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2020</w:t>
            </w:r>
          </w:p>
        </w:tc>
      </w:tr>
    </w:tbl>
    <w:p w:rsidR="0066225F" w:rsidRDefault="00C71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3019"/>
        <w:gridCol w:w="3789"/>
        <w:gridCol w:w="4240"/>
      </w:tblGrid>
      <w:tr w:rsidR="0066225F">
        <w:tc>
          <w:tcPr>
            <w:tcW w:w="29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  <w:p w:rsidR="0066225F" w:rsidRDefault="0066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66225F">
        <w:tc>
          <w:tcPr>
            <w:tcW w:w="29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3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30, 1960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225F" w:rsidRDefault="00C71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16, 2011</w:t>
            </w:r>
          </w:p>
        </w:tc>
      </w:tr>
    </w:tbl>
    <w:p w:rsidR="0066225F" w:rsidRDefault="00C71C41" w:rsidP="00C7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:rsidR="0066225F" w:rsidRDefault="00C71C41" w:rsidP="00C7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report) and transactions between the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 </w:t>
      </w:r>
    </w:p>
    <w:p w:rsidR="0066225F" w:rsidRDefault="00C71C41" w:rsidP="00C71C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persons of the Company; or between the Company and principal </w:t>
      </w:r>
      <w:r>
        <w:rPr>
          <w:rFonts w:ascii="Arial" w:hAnsi="Arial"/>
          <w:color w:val="010000"/>
          <w:sz w:val="20"/>
        </w:rPr>
        <w:t xml:space="preserve">shareholders, PDMR and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:rsidR="0066225F" w:rsidRDefault="00C71C41" w:rsidP="00C71C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Company.</w:t>
      </w:r>
    </w:p>
    <w:p w:rsidR="0066225F" w:rsidRDefault="00C71C41" w:rsidP="00C71C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</w:t>
      </w:r>
      <w:r>
        <w:rPr>
          <w:rFonts w:ascii="Arial" w:hAnsi="Arial"/>
          <w:color w:val="010000"/>
          <w:sz w:val="20"/>
        </w:rPr>
        <w:t>Company and other entities/</w:t>
      </w:r>
    </w:p>
    <w:p w:rsidR="0066225F" w:rsidRDefault="00C71C41" w:rsidP="00C71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members of the Supervisory Board, Executive</w:t>
      </w:r>
      <w:r>
        <w:rPr>
          <w:rFonts w:ascii="Arial" w:hAnsi="Arial"/>
          <w:color w:val="010000"/>
          <w:sz w:val="20"/>
        </w:rPr>
        <w:t xml:space="preserve"> Manager </w:t>
      </w:r>
      <w:r>
        <w:rPr>
          <w:rFonts w:ascii="Arial" w:hAnsi="Arial"/>
          <w:color w:val="010000"/>
          <w:sz w:val="20"/>
        </w:rPr>
        <w:lastRenderedPageBreak/>
        <w:t>(</w:t>
      </w:r>
      <w:r w:rsidR="003874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 of the Board of Directors or Executive Manager (</w:t>
      </w:r>
      <w:r w:rsidR="003874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past three (03) years (calculated at the date</w:t>
      </w:r>
      <w:r>
        <w:rPr>
          <w:rFonts w:ascii="Arial" w:hAnsi="Arial"/>
          <w:color w:val="010000"/>
          <w:sz w:val="20"/>
        </w:rPr>
        <w:t xml:space="preserve"> of reporting). None</w:t>
      </w:r>
    </w:p>
    <w:p w:rsidR="0066225F" w:rsidRDefault="00C71C41" w:rsidP="00C71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whose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Board of Directors, members </w:t>
      </w:r>
      <w:r>
        <w:rPr>
          <w:rFonts w:ascii="Arial" w:hAnsi="Arial"/>
          <w:color w:val="010000"/>
          <w:sz w:val="20"/>
        </w:rPr>
        <w:t xml:space="preserve">of the Supervisory Board, Executive </w:t>
      </w:r>
      <w:r>
        <w:rPr>
          <w:rFonts w:ascii="Arial" w:hAnsi="Arial"/>
          <w:color w:val="010000"/>
          <w:sz w:val="20"/>
        </w:rPr>
        <w:t>Manager (</w:t>
      </w:r>
      <w:r w:rsidR="003874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who </w:t>
      </w:r>
      <w:r>
        <w:rPr>
          <w:rFonts w:ascii="Arial" w:hAnsi="Arial"/>
          <w:color w:val="010000"/>
          <w:sz w:val="20"/>
        </w:rPr>
        <w:t>are members of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387482">
        <w:rPr>
          <w:rFonts w:ascii="Arial" w:hAnsi="Arial"/>
          <w:color w:val="010000"/>
          <w:sz w:val="20"/>
        </w:rPr>
        <w:t xml:space="preserve">Managing </w:t>
      </w:r>
      <w:proofErr w:type="gramStart"/>
      <w:r w:rsidR="00387482">
        <w:rPr>
          <w:rFonts w:ascii="Arial" w:hAnsi="Arial"/>
          <w:color w:val="010000"/>
          <w:sz w:val="20"/>
        </w:rPr>
        <w:t>Director</w:t>
      </w:r>
      <w:r>
        <w:rPr>
          <w:rFonts w:ascii="Arial" w:hAnsi="Arial"/>
          <w:color w:val="010000"/>
          <w:sz w:val="20"/>
        </w:rPr>
        <w:t>)  None</w:t>
      </w:r>
      <w:proofErr w:type="gramEnd"/>
    </w:p>
    <w:p w:rsidR="0066225F" w:rsidRDefault="00C71C41" w:rsidP="00C71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</w:t>
      </w:r>
      <w:r>
        <w:rPr>
          <w:rFonts w:ascii="Arial" w:hAnsi="Arial"/>
          <w:color w:val="010000"/>
          <w:sz w:val="20"/>
        </w:rPr>
        <w:t xml:space="preserve"> members of the Board of Directors, members of the Supervisory Board, Executive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Manager (</w:t>
      </w:r>
      <w:r w:rsidR="003874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:rsidR="0066225F" w:rsidRDefault="00C71C41" w:rsidP="00C7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Report):</w:t>
      </w:r>
    </w:p>
    <w:p w:rsidR="0066225F" w:rsidRDefault="00C71C41" w:rsidP="00C71C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3874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</w:t>
      </w:r>
      <w:r>
        <w:rPr>
          <w:rFonts w:ascii="Arial" w:hAnsi="Arial"/>
          <w:color w:val="010000"/>
          <w:sz w:val="20"/>
        </w:rPr>
        <w:t>to the Company’s shares:</w:t>
      </w:r>
    </w:p>
    <w:p w:rsidR="0066225F" w:rsidRPr="006D1BB0" w:rsidRDefault="00C71C41" w:rsidP="00C71C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1BB0">
        <w:rPr>
          <w:rFonts w:ascii="Arial" w:hAnsi="Arial"/>
          <w:color w:val="010000"/>
          <w:sz w:val="20"/>
        </w:rPr>
        <w:t>Other significant issues:</w:t>
      </w:r>
    </w:p>
    <w:sectPr w:rsidR="0066225F" w:rsidRPr="006D1BB0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374"/>
    <w:multiLevelType w:val="multilevel"/>
    <w:tmpl w:val="A5A09D3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592F03"/>
    <w:multiLevelType w:val="multilevel"/>
    <w:tmpl w:val="9E580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34CB"/>
    <w:multiLevelType w:val="multilevel"/>
    <w:tmpl w:val="FEE64E30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872AA5"/>
    <w:multiLevelType w:val="multilevel"/>
    <w:tmpl w:val="6D2A5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4BF"/>
    <w:multiLevelType w:val="multilevel"/>
    <w:tmpl w:val="635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25FF3"/>
    <w:multiLevelType w:val="multilevel"/>
    <w:tmpl w:val="7D1038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B9A63CD"/>
    <w:multiLevelType w:val="multilevel"/>
    <w:tmpl w:val="DCCC22C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7F2D70"/>
    <w:multiLevelType w:val="multilevel"/>
    <w:tmpl w:val="AF0C14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5F"/>
    <w:rsid w:val="00387482"/>
    <w:rsid w:val="0066225F"/>
    <w:rsid w:val="006D1BB0"/>
    <w:rsid w:val="00C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C08D"/>
  <w15:docId w15:val="{E5A216BB-D814-4D4A-92C8-955327A8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0201"/>
      <w:sz w:val="8"/>
      <w:szCs w:val="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0201"/>
      <w:sz w:val="10"/>
      <w:szCs w:val="1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F80201"/>
      <w:sz w:val="8"/>
      <w:szCs w:val="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color w:val="F80201"/>
      <w:sz w:val="10"/>
      <w:szCs w:val="1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6D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lrsirTiUQGNa+cXPWG+AA4uWg==">CgMxLjA4AHIhMV95bk15dmlhQ1BieGJQOFBRN3FnT3R3R0VEOWpTU3kw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2024-02-01T10:26:00Z</dcterms:created>
  <dcterms:modified xsi:type="dcterms:W3CDTF">2024-02-01T10:26:00Z</dcterms:modified>
</cp:coreProperties>
</file>