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C3" w:rsidRDefault="0035423F" w:rsidP="003542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LM3:</w:t>
      </w:r>
      <w:r>
        <w:rPr>
          <w:rFonts w:ascii="Arial" w:hAnsi="Arial"/>
          <w:b/>
          <w:color w:val="010000"/>
          <w:sz w:val="20"/>
        </w:rPr>
        <w:t xml:space="preserve"> Annual Corporate Governance 2023</w:t>
      </w:r>
    </w:p>
    <w:p w:rsidR="00E121C3" w:rsidRDefault="0035423F" w:rsidP="003542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LILAMA 3 Joint Stock Company announced Report No. 02/2023-BCQT on the Corporate Governance in 2023 as follows: </w:t>
      </w:r>
    </w:p>
    <w:p w:rsidR="00E121C3" w:rsidRDefault="0035423F" w:rsidP="003542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listed company: LILAMA 3 Joint Stock Company</w:t>
      </w:r>
    </w:p>
    <w:p w:rsidR="00E121C3" w:rsidRDefault="0035423F" w:rsidP="003542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86 Tan Xuan Street, Xuan Dinh Ward, Bac </w:t>
      </w:r>
      <w:proofErr w:type="spellStart"/>
      <w:r>
        <w:rPr>
          <w:rFonts w:ascii="Arial" w:hAnsi="Arial"/>
          <w:color w:val="010000"/>
          <w:sz w:val="20"/>
        </w:rPr>
        <w:t>Tu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Liem</w:t>
      </w:r>
      <w:proofErr w:type="spellEnd"/>
      <w:r>
        <w:rPr>
          <w:rFonts w:ascii="Arial" w:hAnsi="Arial"/>
          <w:color w:val="010000"/>
          <w:sz w:val="20"/>
        </w:rPr>
        <w:t xml:space="preserve"> District, Hanoi</w:t>
      </w:r>
    </w:p>
    <w:p w:rsidR="00E121C3" w:rsidRDefault="0035423F" w:rsidP="003542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0243. 818 2554              Fax: 0243. 818 2550 Email: </w:t>
      </w:r>
      <w:hyperlink r:id="rId6">
        <w:r>
          <w:rPr>
            <w:rFonts w:ascii="Arial" w:hAnsi="Arial"/>
            <w:color w:val="010000"/>
            <w:sz w:val="20"/>
          </w:rPr>
          <w:t>info@lilama3.vn</w:t>
        </w:r>
      </w:hyperlink>
    </w:p>
    <w:p w:rsidR="00E121C3" w:rsidRDefault="0035423F" w:rsidP="003542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67"/>
          <w:tab w:val="left" w:pos="112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51,500,000,000</w:t>
      </w:r>
    </w:p>
    <w:p w:rsidR="00E121C3" w:rsidRDefault="0035423F" w:rsidP="003542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67"/>
          <w:tab w:val="left" w:pos="112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Securities </w:t>
      </w:r>
      <w:r>
        <w:rPr>
          <w:rFonts w:ascii="Arial" w:hAnsi="Arial"/>
          <w:color w:val="010000"/>
          <w:sz w:val="20"/>
        </w:rPr>
        <w:t>code: LM3</w:t>
      </w:r>
    </w:p>
    <w:p w:rsidR="00E121C3" w:rsidRDefault="0035423F" w:rsidP="003542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Meeting,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:rsidR="00E121C3" w:rsidRDefault="0035423F" w:rsidP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  <w:r>
        <w:rPr>
          <w:rFonts w:ascii="Arial" w:hAnsi="Arial"/>
          <w:color w:val="010000"/>
          <w:sz w:val="20"/>
        </w:rPr>
        <w:t>:</w:t>
      </w:r>
    </w:p>
    <w:p w:rsidR="00E121C3" w:rsidRDefault="0035423F" w:rsidP="003542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</w:t>
      </w:r>
      <w:r>
        <w:rPr>
          <w:rFonts w:ascii="Arial" w:hAnsi="Arial"/>
          <w:color w:val="010000"/>
          <w:sz w:val="20"/>
        </w:rPr>
        <w:t>Mandates/Decisions of the 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2073"/>
        <w:gridCol w:w="1170"/>
        <w:gridCol w:w="5422"/>
      </w:tblGrid>
      <w:tr w:rsidR="00E121C3" w:rsidTr="0035423F">
        <w:tc>
          <w:tcPr>
            <w:tcW w:w="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E121C3" w:rsidTr="0035423F">
        <w:trPr>
          <w:trHeight w:val="9029"/>
        </w:trPr>
        <w:tc>
          <w:tcPr>
            <w:tcW w:w="3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 </w:t>
            </w:r>
          </w:p>
        </w:tc>
        <w:tc>
          <w:tcPr>
            <w:tcW w:w="20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04/NQ-DHDCD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production and business result report in 2022 of the Executive Board </w:t>
            </w:r>
            <w:r>
              <w:rPr>
                <w:rFonts w:ascii="Arial" w:hAnsi="Arial"/>
                <w:color w:val="010000"/>
                <w:sz w:val="20"/>
              </w:rPr>
              <w:t>and the production and business plan for 2023.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in 2022.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activities of the Supervisory Board in 2022.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Audited Financial Statements 2022 (Consolidated and Holding companies’ </w:t>
            </w:r>
            <w:r>
              <w:rPr>
                <w:rFonts w:ascii="Arial" w:hAnsi="Arial"/>
                <w:color w:val="010000"/>
                <w:sz w:val="20"/>
              </w:rPr>
              <w:t>Financial Statements).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on profit distribution and dividend payment in 2022.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authorization for the Board of Directors to select an audit company for the Financial Statements 2023.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the remuneration for mem</w:t>
            </w:r>
            <w:r>
              <w:rPr>
                <w:rFonts w:ascii="Arial" w:hAnsi="Arial"/>
                <w:color w:val="010000"/>
                <w:sz w:val="20"/>
              </w:rPr>
              <w:t>bers of the Board of Directors, the Supervisory Board, and the Company’s Secretariat for 2023.</w:t>
            </w:r>
          </w:p>
          <w:p w:rsidR="00E121C3" w:rsidRDefault="003542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the amendments</w:t>
            </w:r>
            <w:r>
              <w:rPr>
                <w:rFonts w:ascii="Arial" w:hAnsi="Arial"/>
                <w:color w:val="010000"/>
                <w:sz w:val="20"/>
              </w:rPr>
              <w:t xml:space="preserve"> and supplements</w:t>
            </w:r>
            <w:r>
              <w:rPr>
                <w:rFonts w:ascii="Arial" w:hAnsi="Arial"/>
                <w:color w:val="010000"/>
                <w:sz w:val="20"/>
              </w:rPr>
              <w:t xml:space="preserve"> to the Company’s Charter.</w:t>
            </w:r>
          </w:p>
          <w:p w:rsidR="00E121C3" w:rsidRDefault="00354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private placement plan for debt swap.</w:t>
            </w:r>
          </w:p>
          <w:p w:rsidR="00E121C3" w:rsidRDefault="00354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dismissal and </w:t>
            </w:r>
            <w:r>
              <w:rPr>
                <w:rFonts w:ascii="Arial" w:hAnsi="Arial"/>
                <w:color w:val="010000"/>
                <w:sz w:val="20"/>
              </w:rPr>
              <w:t>election of additional members of the Supervisory Board.</w:t>
            </w:r>
          </w:p>
          <w:p w:rsidR="00E121C3" w:rsidRDefault="00354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on the acquisition of capital contribution of Dai Nippon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Toryo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Co., Ltd. and</w:t>
            </w:r>
            <w:r>
              <w:rPr>
                <w:rFonts w:ascii="Arial" w:hAnsi="Arial"/>
                <w:color w:val="010000"/>
                <w:sz w:val="20"/>
              </w:rPr>
              <w:t xml:space="preserve"> divestment plan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Lilama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3 - Dai Nippon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Toryo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Limited.</w:t>
            </w:r>
          </w:p>
          <w:p w:rsidR="00E121C3" w:rsidRDefault="003542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additional election r</w:t>
            </w:r>
            <w:r>
              <w:rPr>
                <w:rFonts w:ascii="Arial" w:hAnsi="Arial"/>
                <w:color w:val="010000"/>
                <w:sz w:val="20"/>
              </w:rPr>
              <w:t>esults of members of the Supervisory Board for the 2021 2026 term.</w:t>
            </w:r>
          </w:p>
        </w:tc>
      </w:tr>
    </w:tbl>
    <w:p w:rsidR="00E121C3" w:rsidRDefault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:rsidR="00E121C3" w:rsidRDefault="003542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559"/>
        <w:gridCol w:w="2364"/>
        <w:gridCol w:w="2518"/>
        <w:gridCol w:w="1704"/>
        <w:gridCol w:w="1872"/>
      </w:tblGrid>
      <w:tr w:rsidR="00E121C3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Position (independent member of the Board of Directors, non-executive </w:t>
            </w:r>
            <w:r>
              <w:rPr>
                <w:rFonts w:ascii="Arial" w:hAnsi="Arial"/>
                <w:color w:val="010000"/>
                <w:sz w:val="20"/>
              </w:rPr>
              <w:t>member of the Board of Directors)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E121C3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E121C3">
        <w:tc>
          <w:tcPr>
            <w:tcW w:w="90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Term: 2021- 2026</w:t>
            </w:r>
          </w:p>
        </w:tc>
      </w:tr>
      <w:tr w:rsidR="00E121C3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Tien Thanh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121C3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</w:t>
            </w:r>
            <w:r>
              <w:rPr>
                <w:rFonts w:ascii="Arial" w:hAnsi="Arial"/>
                <w:color w:val="010000"/>
                <w:sz w:val="20"/>
              </w:rPr>
              <w:t xml:space="preserve"> Tien Thanh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121C3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Duc Thinh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121C3"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Hai Phong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121C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Thanh Tuan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</w:t>
            </w:r>
            <w:r>
              <w:rPr>
                <w:rFonts w:ascii="Arial" w:hAnsi="Arial"/>
                <w:color w:val="010000"/>
                <w:sz w:val="20"/>
              </w:rPr>
              <w:t>31, 2022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E121C3" w:rsidRDefault="003542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F972D6">
        <w:rPr>
          <w:rFonts w:ascii="Arial" w:hAnsi="Arial"/>
          <w:color w:val="010000"/>
          <w:sz w:val="20"/>
          <w:lang w:val="vi-VN"/>
        </w:rPr>
        <w:t xml:space="preserve">Board </w:t>
      </w:r>
      <w:r>
        <w:rPr>
          <w:rFonts w:ascii="Arial" w:hAnsi="Arial"/>
          <w:color w:val="010000"/>
          <w:sz w:val="20"/>
        </w:rPr>
        <w:t>Decisions in 2023: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792"/>
        <w:gridCol w:w="1364"/>
        <w:gridCol w:w="5228"/>
      </w:tblGrid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F972D6">
              <w:rPr>
                <w:rFonts w:ascii="Arial" w:hAnsi="Arial"/>
                <w:color w:val="010000"/>
                <w:sz w:val="20"/>
              </w:rPr>
              <w:t>Board</w:t>
            </w:r>
            <w:r w:rsidR="00F972D6"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 xml:space="preserve">Decision 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</w:t>
            </w: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Promulgate Appendix II on Salary Regulations for Office Sector of the </w:t>
            </w:r>
            <w:r>
              <w:rPr>
                <w:rFonts w:ascii="Arial" w:hAnsi="Arial"/>
                <w:color w:val="010000"/>
                <w:sz w:val="20"/>
              </w:rPr>
              <w:t>Company.</w:t>
            </w: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</w:p>
        </w:tc>
      </w:tr>
      <w:tr w:rsidR="00E121C3" w:rsidTr="0035423F">
        <w:trPr>
          <w:trHeight w:val="465"/>
        </w:trPr>
        <w:tc>
          <w:tcPr>
            <w:tcW w:w="63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</w:t>
            </w:r>
          </w:p>
        </w:tc>
        <w:tc>
          <w:tcPr>
            <w:tcW w:w="136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522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 report in 2022 of the Executive Board and the production and business plan for 2023.</w:t>
            </w:r>
          </w:p>
          <w:p w:rsidR="00E121C3" w:rsidRDefault="00354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Supervisory Board in 2022.</w:t>
            </w:r>
          </w:p>
          <w:p w:rsidR="00E121C3" w:rsidRDefault="00354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activities of the Supervisory Board in 2022.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of the Company in 2022 (Consolidated and Holding companies’ Financial Statements).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>
              <w:rPr>
                <w:rFonts w:ascii="Arial" w:hAnsi="Arial"/>
                <w:color w:val="010000"/>
                <w:sz w:val="20"/>
              </w:rPr>
              <w:t>Plan on profit distribution and dividend payment in 2022.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authorization for the Board of Directors to select an audit company to audit the Financial Statements 2023.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Approve the Proposal on the remuneration for members of the Board of Directors</w:t>
            </w:r>
            <w:r>
              <w:rPr>
                <w:rFonts w:ascii="Arial" w:hAnsi="Arial"/>
                <w:color w:val="010000"/>
                <w:sz w:val="20"/>
              </w:rPr>
              <w:t>, the Supervisory Board, and the Company’s Secretariat for 2023.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the amendment and supplement to the Company’s Charter.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private placement plan for debt swap.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7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dismissal and election of additional members of </w:t>
            </w:r>
            <w:r>
              <w:rPr>
                <w:rFonts w:ascii="Arial" w:hAnsi="Arial"/>
                <w:color w:val="010000"/>
                <w:sz w:val="20"/>
              </w:rPr>
              <w:t>the Supervisory Board.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7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on the acquisition of capital contribution of Dai Nippon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Toryo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Co., Ltd. and the divestment plan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Lilama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3 - Dai Nippon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Toryo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Limited.</w:t>
            </w:r>
          </w:p>
          <w:p w:rsidR="00E121C3" w:rsidRDefault="003542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7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additional election results of members of the Superviso</w:t>
            </w:r>
            <w:r>
              <w:rPr>
                <w:rFonts w:ascii="Arial" w:hAnsi="Arial"/>
                <w:color w:val="010000"/>
                <w:sz w:val="20"/>
              </w:rPr>
              <w:t>ry Board for the 2021 - 2026 term.</w:t>
            </w:r>
          </w:p>
        </w:tc>
      </w:tr>
      <w:tr w:rsidR="00E121C3" w:rsidTr="0035423F">
        <w:trPr>
          <w:trHeight w:val="465"/>
        </w:trPr>
        <w:tc>
          <w:tcPr>
            <w:tcW w:w="63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2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E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transfer of 2% of charter capital owned by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Lilama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3 - Dai Nippon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Toryo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 Limited.</w:t>
            </w: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 of adjusting the production and </w:t>
            </w:r>
            <w:r>
              <w:rPr>
                <w:rFonts w:ascii="Arial" w:hAnsi="Arial"/>
                <w:color w:val="010000"/>
                <w:sz w:val="20"/>
              </w:rPr>
              <w:t>business plan targets in 2023.</w:t>
            </w:r>
          </w:p>
        </w:tc>
      </w:tr>
      <w:tr w:rsidR="00E121C3" w:rsidTr="0035423F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extension of the credit contract 2023.</w:t>
            </w:r>
          </w:p>
        </w:tc>
      </w:tr>
    </w:tbl>
    <w:p w:rsidR="00E121C3" w:rsidRDefault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:rsidR="00E121C3" w:rsidRDefault="003542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356"/>
        <w:gridCol w:w="8"/>
        <w:gridCol w:w="1924"/>
        <w:gridCol w:w="9"/>
        <w:gridCol w:w="2070"/>
        <w:gridCol w:w="2123"/>
      </w:tblGrid>
      <w:tr w:rsidR="00E121C3">
        <w:tc>
          <w:tcPr>
            <w:tcW w:w="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93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7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t>appointment/dismissal as member of the Supervisory Board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E121C3">
        <w:tc>
          <w:tcPr>
            <w:tcW w:w="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Ta Nhu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Dien</w:t>
            </w:r>
            <w:proofErr w:type="spellEnd"/>
          </w:p>
        </w:tc>
        <w:tc>
          <w:tcPr>
            <w:tcW w:w="193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07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E121C3">
        <w:tc>
          <w:tcPr>
            <w:tcW w:w="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</w:t>
            </w:r>
          </w:p>
        </w:tc>
        <w:tc>
          <w:tcPr>
            <w:tcW w:w="193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</w:tr>
      <w:tr w:rsidR="00E121C3">
        <w:tc>
          <w:tcPr>
            <w:tcW w:w="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Anh Tuan</w:t>
            </w:r>
          </w:p>
        </w:tc>
        <w:tc>
          <w:tcPr>
            <w:tcW w:w="193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05, 2023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</w:tr>
      <w:tr w:rsidR="00E121C3">
        <w:tc>
          <w:tcPr>
            <w:tcW w:w="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6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 Thi Thanh Huyen</w:t>
            </w:r>
          </w:p>
        </w:tc>
        <w:tc>
          <w:tcPr>
            <w:tcW w:w="193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:rsidR="00E121C3" w:rsidRDefault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Board: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351"/>
        <w:gridCol w:w="1125"/>
        <w:gridCol w:w="1412"/>
        <w:gridCol w:w="1533"/>
        <w:gridCol w:w="1978"/>
      </w:tblGrid>
      <w:tr w:rsidR="00E121C3">
        <w:tc>
          <w:tcPr>
            <w:tcW w:w="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E121C3">
        <w:tc>
          <w:tcPr>
            <w:tcW w:w="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Tien Thanh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06, 1981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5, 2019</w:t>
            </w:r>
          </w:p>
        </w:tc>
      </w:tr>
      <w:tr w:rsidR="00E121C3">
        <w:tc>
          <w:tcPr>
            <w:tcW w:w="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Tang Phuong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23, 1965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01, 2007</w:t>
            </w:r>
          </w:p>
        </w:tc>
      </w:tr>
      <w:tr w:rsidR="00E121C3">
        <w:tc>
          <w:tcPr>
            <w:tcW w:w="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Hai Phong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04, 1974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05, </w:t>
            </w:r>
            <w:r>
              <w:rPr>
                <w:rFonts w:ascii="Arial" w:hAnsi="Arial"/>
                <w:color w:val="010000"/>
                <w:sz w:val="20"/>
              </w:rPr>
              <w:t>2019</w:t>
            </w:r>
          </w:p>
        </w:tc>
      </w:tr>
    </w:tbl>
    <w:p w:rsidR="00E121C3" w:rsidRDefault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193"/>
        <w:gridCol w:w="2500"/>
        <w:gridCol w:w="2126"/>
      </w:tblGrid>
      <w:tr w:rsidR="00E121C3">
        <w:tc>
          <w:tcPr>
            <w:tcW w:w="21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21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Appointment/dismissal date</w:t>
            </w:r>
          </w:p>
        </w:tc>
      </w:tr>
      <w:tr w:rsidR="00E121C3">
        <w:tc>
          <w:tcPr>
            <w:tcW w:w="21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Duc Thinh</w:t>
            </w:r>
          </w:p>
        </w:tc>
        <w:tc>
          <w:tcPr>
            <w:tcW w:w="21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1987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21C3" w:rsidRDefault="0035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2019</w:t>
            </w:r>
          </w:p>
        </w:tc>
      </w:tr>
    </w:tbl>
    <w:p w:rsidR="00E121C3" w:rsidRDefault="0035423F" w:rsidP="003542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:rsidR="00E121C3" w:rsidRDefault="0035423F" w:rsidP="003542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List of related</w:t>
      </w:r>
      <w:r>
        <w:rPr>
          <w:rFonts w:ascii="Arial" w:hAnsi="Arial"/>
          <w:color w:val="010000"/>
          <w:sz w:val="20"/>
        </w:rPr>
        <w:t xml:space="preserve"> persons of the listed company in accordance with Clause 34, Article 6 of the Law on Securities and transactions between 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:rsidR="00E121C3" w:rsidRDefault="0035423F" w:rsidP="003542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its related persons; o</w:t>
      </w:r>
      <w:r>
        <w:rPr>
          <w:rFonts w:ascii="Arial" w:hAnsi="Arial"/>
          <w:color w:val="010000"/>
          <w:sz w:val="20"/>
        </w:rPr>
        <w:t>r between the Company and major shareholders, PDMR, related persons of PDMR: None</w:t>
      </w:r>
    </w:p>
    <w:p w:rsidR="00E121C3" w:rsidRDefault="0035423F" w:rsidP="003542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the listed company, 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listed company: None</w:t>
      </w:r>
    </w:p>
    <w:p w:rsidR="00E121C3" w:rsidRDefault="0035423F" w:rsidP="003542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</w:t>
      </w:r>
      <w:r>
        <w:rPr>
          <w:rFonts w:ascii="Arial" w:hAnsi="Arial"/>
          <w:color w:val="010000"/>
          <w:sz w:val="20"/>
        </w:rPr>
        <w:t>Company and other entities:</w:t>
      </w:r>
    </w:p>
    <w:p w:rsidR="00E121C3" w:rsidRDefault="0035423F" w:rsidP="003542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in which members of the Board of Directors, members of the Supervisory Board and</w:t>
      </w:r>
      <w:r>
        <w:rPr>
          <w:rFonts w:ascii="Arial" w:hAnsi="Arial"/>
          <w:color w:val="010000"/>
          <w:sz w:val="20"/>
        </w:rPr>
        <w:t xml:space="preserve"> Managing Director</w:t>
      </w:r>
      <w:r>
        <w:rPr>
          <w:rFonts w:ascii="Arial" w:hAnsi="Arial"/>
          <w:color w:val="010000"/>
          <w:sz w:val="20"/>
        </w:rPr>
        <w:t xml:space="preserve"> have been founding members or members of the Board of Directors or</w:t>
      </w:r>
      <w:r>
        <w:rPr>
          <w:rFonts w:ascii="Arial" w:hAnsi="Arial"/>
          <w:color w:val="010000"/>
          <w:sz w:val="20"/>
        </w:rPr>
        <w:t xml:space="preserve"> Managing Director</w:t>
      </w:r>
      <w:r>
        <w:rPr>
          <w:rFonts w:ascii="Arial" w:hAnsi="Arial"/>
          <w:color w:val="010000"/>
          <w:sz w:val="20"/>
        </w:rPr>
        <w:t xml:space="preserve"> for the past three (03) years: None</w:t>
      </w:r>
    </w:p>
    <w:p w:rsidR="00E121C3" w:rsidRDefault="0035423F" w:rsidP="003542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the 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 and</w:t>
      </w:r>
      <w:r>
        <w:rPr>
          <w:rFonts w:ascii="Arial" w:hAnsi="Arial"/>
          <w:color w:val="010000"/>
          <w:sz w:val="20"/>
        </w:rPr>
        <w:t xml:space="preserve"> Managing Director</w:t>
      </w:r>
      <w:r>
        <w:rPr>
          <w:rFonts w:ascii="Arial" w:hAnsi="Arial"/>
          <w:color w:val="010000"/>
          <w:sz w:val="20"/>
        </w:rPr>
        <w:t xml:space="preserve"> who </w:t>
      </w:r>
      <w:r>
        <w:rPr>
          <w:rFonts w:ascii="Arial" w:hAnsi="Arial"/>
          <w:color w:val="010000"/>
          <w:sz w:val="20"/>
        </w:rPr>
        <w:t>are members of the Board of Directors and</w:t>
      </w:r>
      <w:r>
        <w:rPr>
          <w:rFonts w:ascii="Arial" w:hAnsi="Arial"/>
          <w:color w:val="010000"/>
          <w:sz w:val="20"/>
        </w:rPr>
        <w:t xml:space="preserve"> Managing Director</w:t>
      </w:r>
      <w:r>
        <w:rPr>
          <w:rFonts w:ascii="Arial" w:hAnsi="Arial"/>
          <w:color w:val="010000"/>
          <w:sz w:val="20"/>
        </w:rPr>
        <w:t>: None</w:t>
      </w:r>
    </w:p>
    <w:p w:rsidR="00E121C3" w:rsidRDefault="0035423F" w:rsidP="003542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members of the Supervisory Board and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Managing Director</w:t>
      </w:r>
      <w:r>
        <w:rPr>
          <w:rFonts w:ascii="Arial" w:hAnsi="Arial"/>
          <w:color w:val="010000"/>
          <w:sz w:val="20"/>
        </w:rPr>
        <w:t>: None</w:t>
      </w:r>
    </w:p>
    <w:p w:rsidR="00E121C3" w:rsidRDefault="0035423F" w:rsidP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:rsidR="00E121C3" w:rsidRDefault="0035423F" w:rsidP="003542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Listed company’s share transactions of PDMR and 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:rsidR="00E121C3" w:rsidRDefault="0035423F" w:rsidP="003542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significant issues:</w:t>
      </w:r>
    </w:p>
    <w:sectPr w:rsidR="00E121C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106"/>
    <w:multiLevelType w:val="multilevel"/>
    <w:tmpl w:val="CC7A1B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A14243"/>
    <w:multiLevelType w:val="multilevel"/>
    <w:tmpl w:val="8EE44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65E"/>
    <w:multiLevelType w:val="multilevel"/>
    <w:tmpl w:val="70A4B29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B2E7A"/>
    <w:multiLevelType w:val="multilevel"/>
    <w:tmpl w:val="75C68FC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A30A98"/>
    <w:multiLevelType w:val="multilevel"/>
    <w:tmpl w:val="126AB75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347511"/>
    <w:multiLevelType w:val="multilevel"/>
    <w:tmpl w:val="9B7420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E5092E"/>
    <w:multiLevelType w:val="multilevel"/>
    <w:tmpl w:val="9CB69B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D20235"/>
    <w:multiLevelType w:val="multilevel"/>
    <w:tmpl w:val="AA0651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F925A8"/>
    <w:multiLevelType w:val="multilevel"/>
    <w:tmpl w:val="B78021B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3EC3355"/>
    <w:multiLevelType w:val="multilevel"/>
    <w:tmpl w:val="161A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C3"/>
    <w:rsid w:val="0035423F"/>
    <w:rsid w:val="00E121C3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5D1"/>
  <w15:docId w15:val="{E5A216BB-D814-4D4A-92C8-955327A8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0201"/>
      <w:sz w:val="9"/>
      <w:szCs w:val="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9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left="3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line="319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Times New Roman" w:eastAsia="Times New Roman" w:hAnsi="Times New Roman" w:cs="Times New Roman"/>
      <w:b/>
      <w:bCs/>
      <w:color w:val="F70201"/>
      <w:sz w:val="9"/>
      <w:szCs w:val="9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spacing w:line="319" w:lineRule="auto"/>
      <w:ind w:firstLine="3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ama3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oENxwjyM/ynzQiouzneXiyi6Q==">CgMxLjA4AHIhMXdFZzkwbFBuWFdvWFg3Y0NWUUNZWG9BZFdxMHJ4MTgt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2024-02-01T10:32:00Z</dcterms:created>
  <dcterms:modified xsi:type="dcterms:W3CDTF">2024-02-01T10:32:00Z</dcterms:modified>
</cp:coreProperties>
</file>