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E904"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b/>
          <w:color w:val="010000"/>
          <w:sz w:val="20"/>
          <w:szCs w:val="20"/>
        </w:rPr>
      </w:pPr>
      <w:r w:rsidRPr="002B070B">
        <w:rPr>
          <w:rFonts w:ascii="Arial" w:hAnsi="Arial" w:cs="Arial"/>
          <w:b/>
          <w:color w:val="010000"/>
          <w:sz w:val="20"/>
          <w:szCs w:val="20"/>
        </w:rPr>
        <w:t>NVL122001: Periodic Report on principal and interest payment of NVLB2123012 bonds (NVL122001)</w:t>
      </w:r>
    </w:p>
    <w:p w14:paraId="1C600E1B" w14:textId="10043392"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 xml:space="preserve">On January 29, 2024, No </w:t>
      </w:r>
      <w:proofErr w:type="spellStart"/>
      <w:proofErr w:type="gramStart"/>
      <w:r w:rsidRPr="002B070B">
        <w:rPr>
          <w:rFonts w:ascii="Arial" w:hAnsi="Arial" w:cs="Arial"/>
          <w:color w:val="010000"/>
          <w:sz w:val="20"/>
          <w:szCs w:val="20"/>
        </w:rPr>
        <w:t>Va</w:t>
      </w:r>
      <w:proofErr w:type="spellEnd"/>
      <w:proofErr w:type="gramEnd"/>
      <w:r w:rsidRPr="002B070B">
        <w:rPr>
          <w:rFonts w:ascii="Arial" w:hAnsi="Arial" w:cs="Arial"/>
          <w:color w:val="010000"/>
          <w:sz w:val="20"/>
          <w:szCs w:val="20"/>
        </w:rPr>
        <w:t xml:space="preserve"> Land Investment Group Corporation announced the Report on </w:t>
      </w:r>
      <w:r w:rsidR="00406BA8" w:rsidRPr="002B070B">
        <w:rPr>
          <w:rFonts w:ascii="Arial" w:hAnsi="Arial" w:cs="Arial"/>
          <w:color w:val="010000"/>
          <w:sz w:val="20"/>
          <w:szCs w:val="20"/>
        </w:rPr>
        <w:t>principal</w:t>
      </w:r>
      <w:r w:rsidRPr="002B070B">
        <w:rPr>
          <w:rFonts w:ascii="Arial" w:hAnsi="Arial" w:cs="Arial"/>
          <w:color w:val="010000"/>
          <w:sz w:val="20"/>
          <w:szCs w:val="20"/>
        </w:rPr>
        <w:t xml:space="preserve"> and interest payment of corporate bonds as follows:</w:t>
      </w:r>
    </w:p>
    <w:p w14:paraId="2C09D882" w14:textId="6F6A4EC0" w:rsidR="007578B0" w:rsidRPr="002B070B" w:rsidRDefault="00B21636" w:rsidP="00406BA8">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B070B">
        <w:rPr>
          <w:rFonts w:ascii="Arial" w:hAnsi="Arial" w:cs="Arial"/>
          <w:color w:val="010000"/>
          <w:sz w:val="20"/>
          <w:szCs w:val="20"/>
        </w:rPr>
        <w:t>Report on bond principal and interest payment</w:t>
      </w:r>
      <w:r w:rsidR="000A7473" w:rsidRPr="002B070B">
        <w:rPr>
          <w:rFonts w:ascii="Arial" w:hAnsi="Arial" w:cs="Arial"/>
          <w:color w:val="010000"/>
          <w:sz w:val="20"/>
          <w:szCs w:val="20"/>
        </w:rPr>
        <w:t xml:space="preserve"> </w:t>
      </w:r>
    </w:p>
    <w:p w14:paraId="10C3BDA2" w14:textId="4BC62D68"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(Reporting period from January 1,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to the end of December 31, 2023)</w:t>
      </w:r>
    </w:p>
    <w:p w14:paraId="404EB17D" w14:textId="77777777" w:rsidR="007578B0" w:rsidRPr="002B070B" w:rsidRDefault="00B21636" w:rsidP="00B337D9">
      <w:pPr>
        <w:pBdr>
          <w:top w:val="nil"/>
          <w:left w:val="nil"/>
          <w:bottom w:val="nil"/>
          <w:right w:val="nil"/>
          <w:between w:val="nil"/>
        </w:pBdr>
        <w:spacing w:after="120" w:line="360" w:lineRule="auto"/>
        <w:jc w:val="right"/>
        <w:rPr>
          <w:rFonts w:ascii="Arial" w:eastAsia="Arial" w:hAnsi="Arial" w:cs="Arial"/>
          <w:i/>
          <w:color w:val="010000"/>
          <w:sz w:val="20"/>
          <w:szCs w:val="20"/>
        </w:rPr>
      </w:pPr>
      <w:r w:rsidRPr="002B070B">
        <w:rPr>
          <w:rFonts w:ascii="Arial" w:hAnsi="Arial" w:cs="Arial"/>
          <w:i/>
          <w:color w:val="010000"/>
          <w:sz w:val="20"/>
          <w:szCs w:val="20"/>
        </w:rPr>
        <w:t>Unit: Billion VND</w:t>
      </w:r>
    </w:p>
    <w:tbl>
      <w:tblPr>
        <w:tblStyle w:val="2"/>
        <w:tblW w:w="5000" w:type="pct"/>
        <w:tblLook w:val="0000" w:firstRow="0" w:lastRow="0" w:firstColumn="0" w:lastColumn="0" w:noHBand="0" w:noVBand="0"/>
      </w:tblPr>
      <w:tblGrid>
        <w:gridCol w:w="332"/>
        <w:gridCol w:w="1077"/>
        <w:gridCol w:w="676"/>
        <w:gridCol w:w="1036"/>
        <w:gridCol w:w="1008"/>
        <w:gridCol w:w="872"/>
        <w:gridCol w:w="768"/>
        <w:gridCol w:w="813"/>
        <w:gridCol w:w="827"/>
        <w:gridCol w:w="918"/>
        <w:gridCol w:w="690"/>
      </w:tblGrid>
      <w:tr w:rsidR="007578B0" w:rsidRPr="002B070B" w14:paraId="52ECC9DD" w14:textId="77777777" w:rsidTr="000A7473">
        <w:tc>
          <w:tcPr>
            <w:tcW w:w="175" w:type="pct"/>
            <w:vMerge w:val="restart"/>
            <w:tcBorders>
              <w:top w:val="single" w:sz="4" w:space="0" w:color="000000"/>
              <w:left w:val="single" w:sz="4" w:space="0" w:color="000000"/>
            </w:tcBorders>
            <w:shd w:val="clear" w:color="auto" w:fill="auto"/>
            <w:tcMar>
              <w:top w:w="0" w:type="dxa"/>
              <w:bottom w:w="0" w:type="dxa"/>
            </w:tcMar>
            <w:vAlign w:val="center"/>
          </w:tcPr>
          <w:p w14:paraId="25FBE6BF"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No.</w:t>
            </w:r>
          </w:p>
        </w:tc>
        <w:tc>
          <w:tcPr>
            <w:tcW w:w="574" w:type="pct"/>
            <w:vMerge w:val="restart"/>
            <w:tcBorders>
              <w:top w:val="single" w:sz="4" w:space="0" w:color="000000"/>
              <w:left w:val="single" w:sz="4" w:space="0" w:color="000000"/>
            </w:tcBorders>
            <w:shd w:val="clear" w:color="auto" w:fill="auto"/>
            <w:tcMar>
              <w:top w:w="0" w:type="dxa"/>
              <w:bottom w:w="0" w:type="dxa"/>
            </w:tcMar>
            <w:vAlign w:val="center"/>
          </w:tcPr>
          <w:p w14:paraId="4BCFFB29"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Securities code</w:t>
            </w:r>
          </w:p>
        </w:tc>
        <w:tc>
          <w:tcPr>
            <w:tcW w:w="349" w:type="pct"/>
            <w:vMerge w:val="restart"/>
            <w:tcBorders>
              <w:top w:val="single" w:sz="4" w:space="0" w:color="000000"/>
              <w:left w:val="single" w:sz="4" w:space="0" w:color="000000"/>
            </w:tcBorders>
            <w:shd w:val="clear" w:color="auto" w:fill="auto"/>
            <w:tcMar>
              <w:top w:w="0" w:type="dxa"/>
              <w:bottom w:w="0" w:type="dxa"/>
            </w:tcMar>
            <w:vAlign w:val="center"/>
          </w:tcPr>
          <w:p w14:paraId="04E34291"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Term</w:t>
            </w:r>
          </w:p>
        </w:tc>
        <w:tc>
          <w:tcPr>
            <w:tcW w:w="582" w:type="pct"/>
            <w:vMerge w:val="restart"/>
            <w:tcBorders>
              <w:top w:val="single" w:sz="4" w:space="0" w:color="000000"/>
              <w:left w:val="single" w:sz="4" w:space="0" w:color="000000"/>
            </w:tcBorders>
            <w:shd w:val="clear" w:color="auto" w:fill="auto"/>
            <w:tcMar>
              <w:top w:w="0" w:type="dxa"/>
              <w:bottom w:w="0" w:type="dxa"/>
            </w:tcMar>
            <w:vAlign w:val="center"/>
          </w:tcPr>
          <w:p w14:paraId="1D7D7305"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Issue date</w:t>
            </w:r>
          </w:p>
        </w:tc>
        <w:tc>
          <w:tcPr>
            <w:tcW w:w="566" w:type="pct"/>
            <w:vMerge w:val="restart"/>
            <w:tcBorders>
              <w:top w:val="single" w:sz="4" w:space="0" w:color="000000"/>
              <w:left w:val="single" w:sz="4" w:space="0" w:color="000000"/>
            </w:tcBorders>
            <w:shd w:val="clear" w:color="auto" w:fill="auto"/>
            <w:tcMar>
              <w:top w:w="0" w:type="dxa"/>
              <w:bottom w:w="0" w:type="dxa"/>
            </w:tcMar>
            <w:vAlign w:val="center"/>
          </w:tcPr>
          <w:p w14:paraId="70B23F16"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Maturity date</w:t>
            </w:r>
          </w:p>
        </w:tc>
        <w:tc>
          <w:tcPr>
            <w:tcW w:w="923" w:type="pct"/>
            <w:gridSpan w:val="2"/>
            <w:tcBorders>
              <w:top w:val="single" w:sz="4" w:space="0" w:color="000000"/>
              <w:left w:val="single" w:sz="4" w:space="0" w:color="000000"/>
            </w:tcBorders>
            <w:shd w:val="clear" w:color="auto" w:fill="auto"/>
            <w:tcMar>
              <w:top w:w="0" w:type="dxa"/>
              <w:bottom w:w="0" w:type="dxa"/>
            </w:tcMar>
            <w:vAlign w:val="center"/>
          </w:tcPr>
          <w:p w14:paraId="012B18A5"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Opening balance</w:t>
            </w:r>
          </w:p>
        </w:tc>
        <w:tc>
          <w:tcPr>
            <w:tcW w:w="923" w:type="pct"/>
            <w:gridSpan w:val="2"/>
            <w:tcBorders>
              <w:top w:val="single" w:sz="4" w:space="0" w:color="000000"/>
              <w:left w:val="single" w:sz="4" w:space="0" w:color="000000"/>
            </w:tcBorders>
            <w:shd w:val="clear" w:color="auto" w:fill="auto"/>
            <w:tcMar>
              <w:top w:w="0" w:type="dxa"/>
              <w:bottom w:w="0" w:type="dxa"/>
            </w:tcMar>
            <w:vAlign w:val="center"/>
          </w:tcPr>
          <w:p w14:paraId="6D5D29E9"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Payment during the period</w:t>
            </w:r>
          </w:p>
        </w:tc>
        <w:tc>
          <w:tcPr>
            <w:tcW w:w="90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DC3C9"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Outstanding balance at the end of the period</w:t>
            </w:r>
          </w:p>
        </w:tc>
      </w:tr>
      <w:tr w:rsidR="007578B0" w:rsidRPr="002B070B" w14:paraId="69AC75BD" w14:textId="77777777" w:rsidTr="000A7473">
        <w:tc>
          <w:tcPr>
            <w:tcW w:w="175" w:type="pct"/>
            <w:vMerge/>
            <w:tcBorders>
              <w:top w:val="single" w:sz="4" w:space="0" w:color="000000"/>
              <w:left w:val="single" w:sz="4" w:space="0" w:color="000000"/>
            </w:tcBorders>
            <w:shd w:val="clear" w:color="auto" w:fill="auto"/>
            <w:tcMar>
              <w:top w:w="0" w:type="dxa"/>
              <w:bottom w:w="0" w:type="dxa"/>
            </w:tcMar>
            <w:vAlign w:val="center"/>
          </w:tcPr>
          <w:p w14:paraId="610906F0" w14:textId="77777777" w:rsidR="007578B0" w:rsidRPr="002B070B" w:rsidRDefault="007578B0" w:rsidP="00406BA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74" w:type="pct"/>
            <w:vMerge/>
            <w:tcBorders>
              <w:top w:val="single" w:sz="4" w:space="0" w:color="000000"/>
              <w:left w:val="single" w:sz="4" w:space="0" w:color="000000"/>
            </w:tcBorders>
            <w:shd w:val="clear" w:color="auto" w:fill="auto"/>
            <w:tcMar>
              <w:top w:w="0" w:type="dxa"/>
              <w:bottom w:w="0" w:type="dxa"/>
            </w:tcMar>
            <w:vAlign w:val="center"/>
          </w:tcPr>
          <w:p w14:paraId="325C155B" w14:textId="77777777" w:rsidR="007578B0" w:rsidRPr="002B070B" w:rsidRDefault="007578B0" w:rsidP="00406BA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349" w:type="pct"/>
            <w:vMerge/>
            <w:tcBorders>
              <w:top w:val="single" w:sz="4" w:space="0" w:color="000000"/>
              <w:left w:val="single" w:sz="4" w:space="0" w:color="000000"/>
            </w:tcBorders>
            <w:shd w:val="clear" w:color="auto" w:fill="auto"/>
            <w:tcMar>
              <w:top w:w="0" w:type="dxa"/>
              <w:bottom w:w="0" w:type="dxa"/>
            </w:tcMar>
            <w:vAlign w:val="center"/>
          </w:tcPr>
          <w:p w14:paraId="11AC1AAE" w14:textId="77777777" w:rsidR="007578B0" w:rsidRPr="002B070B" w:rsidRDefault="007578B0" w:rsidP="00406BA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82" w:type="pct"/>
            <w:vMerge/>
            <w:tcBorders>
              <w:top w:val="single" w:sz="4" w:space="0" w:color="000000"/>
              <w:left w:val="single" w:sz="4" w:space="0" w:color="000000"/>
            </w:tcBorders>
            <w:shd w:val="clear" w:color="auto" w:fill="auto"/>
            <w:tcMar>
              <w:top w:w="0" w:type="dxa"/>
              <w:bottom w:w="0" w:type="dxa"/>
            </w:tcMar>
            <w:vAlign w:val="center"/>
          </w:tcPr>
          <w:p w14:paraId="128837CA" w14:textId="77777777" w:rsidR="007578B0" w:rsidRPr="002B070B" w:rsidRDefault="007578B0" w:rsidP="00406BA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6" w:type="pct"/>
            <w:vMerge/>
            <w:tcBorders>
              <w:top w:val="single" w:sz="4" w:space="0" w:color="000000"/>
              <w:left w:val="single" w:sz="4" w:space="0" w:color="000000"/>
            </w:tcBorders>
            <w:shd w:val="clear" w:color="auto" w:fill="auto"/>
            <w:tcMar>
              <w:top w:w="0" w:type="dxa"/>
              <w:bottom w:w="0" w:type="dxa"/>
            </w:tcMar>
            <w:vAlign w:val="center"/>
          </w:tcPr>
          <w:p w14:paraId="0ED10B2A" w14:textId="77777777" w:rsidR="007578B0" w:rsidRPr="002B070B" w:rsidRDefault="007578B0" w:rsidP="00406BA8">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91" w:type="pct"/>
            <w:tcBorders>
              <w:top w:val="single" w:sz="4" w:space="0" w:color="000000"/>
              <w:left w:val="single" w:sz="4" w:space="0" w:color="000000"/>
            </w:tcBorders>
            <w:shd w:val="clear" w:color="auto" w:fill="auto"/>
            <w:tcMar>
              <w:top w:w="0" w:type="dxa"/>
              <w:bottom w:w="0" w:type="dxa"/>
            </w:tcMar>
            <w:vAlign w:val="center"/>
          </w:tcPr>
          <w:p w14:paraId="04A60861"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Principal</w:t>
            </w:r>
          </w:p>
        </w:tc>
        <w:tc>
          <w:tcPr>
            <w:tcW w:w="433" w:type="pct"/>
            <w:tcBorders>
              <w:top w:val="single" w:sz="4" w:space="0" w:color="000000"/>
              <w:left w:val="single" w:sz="4" w:space="0" w:color="000000"/>
            </w:tcBorders>
            <w:shd w:val="clear" w:color="auto" w:fill="auto"/>
            <w:tcMar>
              <w:top w:w="0" w:type="dxa"/>
              <w:bottom w:w="0" w:type="dxa"/>
            </w:tcMar>
            <w:vAlign w:val="center"/>
          </w:tcPr>
          <w:p w14:paraId="709C149A"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Interest</w:t>
            </w:r>
          </w:p>
        </w:tc>
        <w:tc>
          <w:tcPr>
            <w:tcW w:w="458" w:type="pct"/>
            <w:tcBorders>
              <w:top w:val="single" w:sz="4" w:space="0" w:color="000000"/>
              <w:left w:val="single" w:sz="4" w:space="0" w:color="000000"/>
            </w:tcBorders>
            <w:shd w:val="clear" w:color="auto" w:fill="auto"/>
            <w:tcMar>
              <w:top w:w="0" w:type="dxa"/>
              <w:bottom w:w="0" w:type="dxa"/>
            </w:tcMar>
            <w:vAlign w:val="center"/>
          </w:tcPr>
          <w:p w14:paraId="2ECF4DF5"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Principal</w:t>
            </w:r>
          </w:p>
        </w:tc>
        <w:tc>
          <w:tcPr>
            <w:tcW w:w="466" w:type="pct"/>
            <w:tcBorders>
              <w:top w:val="single" w:sz="4" w:space="0" w:color="000000"/>
              <w:left w:val="single" w:sz="4" w:space="0" w:color="000000"/>
            </w:tcBorders>
            <w:shd w:val="clear" w:color="auto" w:fill="auto"/>
            <w:tcMar>
              <w:top w:w="0" w:type="dxa"/>
              <w:bottom w:w="0" w:type="dxa"/>
            </w:tcMar>
            <w:vAlign w:val="center"/>
          </w:tcPr>
          <w:p w14:paraId="61EE8D23"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Interest</w:t>
            </w:r>
          </w:p>
        </w:tc>
        <w:tc>
          <w:tcPr>
            <w:tcW w:w="516" w:type="pct"/>
            <w:tcBorders>
              <w:top w:val="single" w:sz="4" w:space="0" w:color="000000"/>
              <w:left w:val="single" w:sz="4" w:space="0" w:color="000000"/>
            </w:tcBorders>
            <w:shd w:val="clear" w:color="auto" w:fill="auto"/>
            <w:tcMar>
              <w:top w:w="0" w:type="dxa"/>
              <w:bottom w:w="0" w:type="dxa"/>
            </w:tcMar>
            <w:vAlign w:val="center"/>
          </w:tcPr>
          <w:p w14:paraId="17A96F74"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Principal</w:t>
            </w:r>
          </w:p>
        </w:tc>
        <w:tc>
          <w:tcPr>
            <w:tcW w:w="39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2572A8"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Interest</w:t>
            </w:r>
          </w:p>
        </w:tc>
      </w:tr>
      <w:tr w:rsidR="007578B0" w:rsidRPr="002B070B" w14:paraId="713FB70A" w14:textId="77777777" w:rsidTr="000A7473">
        <w:tc>
          <w:tcPr>
            <w:tcW w:w="1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2DC448"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1</w:t>
            </w:r>
          </w:p>
        </w:tc>
        <w:tc>
          <w:tcPr>
            <w:tcW w:w="5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CFB1DC"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NVL122001</w:t>
            </w:r>
          </w:p>
        </w:tc>
        <w:tc>
          <w:tcPr>
            <w:tcW w:w="3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E70522"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42 months</w:t>
            </w:r>
          </w:p>
        </w:tc>
        <w:tc>
          <w:tcPr>
            <w:tcW w:w="5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BCDCBD"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January 20, 2022</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6D3460"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July 20, 2025</w:t>
            </w:r>
          </w:p>
        </w:tc>
        <w:tc>
          <w:tcPr>
            <w:tcW w:w="4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7F0810"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1,300.00</w:t>
            </w:r>
          </w:p>
        </w:tc>
        <w:tc>
          <w:tcPr>
            <w:tcW w:w="4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528B3"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24.70</w:t>
            </w:r>
          </w:p>
        </w:tc>
        <w:tc>
          <w:tcPr>
            <w:tcW w:w="4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74187"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0.00</w:t>
            </w:r>
          </w:p>
        </w:tc>
        <w:tc>
          <w:tcPr>
            <w:tcW w:w="4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F9C476"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81.71</w:t>
            </w:r>
          </w:p>
        </w:tc>
        <w:tc>
          <w:tcPr>
            <w:tcW w:w="5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F2DCB3"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1,300.00</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09A65B" w14:textId="77777777"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118.73</w:t>
            </w:r>
          </w:p>
        </w:tc>
      </w:tr>
    </w:tbl>
    <w:p w14:paraId="345DED80" w14:textId="5200534E" w:rsidR="007578B0" w:rsidRPr="002B070B" w:rsidRDefault="00B21636" w:rsidP="00406BA8">
      <w:pPr>
        <w:numPr>
          <w:ilvl w:val="0"/>
          <w:numId w:val="2"/>
        </w:numPr>
        <w:pBdr>
          <w:top w:val="nil"/>
          <w:left w:val="nil"/>
          <w:bottom w:val="nil"/>
          <w:right w:val="nil"/>
          <w:between w:val="nil"/>
        </w:pBdr>
        <w:tabs>
          <w:tab w:val="left" w:pos="387"/>
        </w:tabs>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The interest payment date of Interest Period 05 (for the period from January 20,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to and excluding April 20, 2023) has been extended by bondholders from April 20,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to July 20,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and agreed by some bondholders to continue extending the payment date beyond July 20, 2023. Currently, No </w:t>
      </w:r>
      <w:proofErr w:type="spellStart"/>
      <w:proofErr w:type="gramStart"/>
      <w:r w:rsidRPr="002B070B">
        <w:rPr>
          <w:rFonts w:ascii="Arial" w:hAnsi="Arial" w:cs="Arial"/>
          <w:color w:val="010000"/>
          <w:sz w:val="20"/>
          <w:szCs w:val="20"/>
        </w:rPr>
        <w:t>Va</w:t>
      </w:r>
      <w:proofErr w:type="spellEnd"/>
      <w:proofErr w:type="gramEnd"/>
      <w:r w:rsidRPr="002B070B">
        <w:rPr>
          <w:rFonts w:ascii="Arial" w:hAnsi="Arial" w:cs="Arial"/>
          <w:color w:val="010000"/>
          <w:sz w:val="20"/>
          <w:szCs w:val="20"/>
        </w:rPr>
        <w:t xml:space="preserve"> Land Investment Group Corporation has completed the interest payment of Interest Period 05 to all bondholders.</w:t>
      </w:r>
    </w:p>
    <w:p w14:paraId="126D0C83" w14:textId="2540EEAB" w:rsidR="007578B0" w:rsidRPr="002B070B" w:rsidRDefault="00B21636" w:rsidP="00406BA8">
      <w:pPr>
        <w:numPr>
          <w:ilvl w:val="0"/>
          <w:numId w:val="2"/>
        </w:numPr>
        <w:pBdr>
          <w:top w:val="nil"/>
          <w:left w:val="nil"/>
          <w:bottom w:val="nil"/>
          <w:right w:val="nil"/>
          <w:between w:val="nil"/>
        </w:pBdr>
        <w:tabs>
          <w:tab w:val="left" w:pos="454"/>
        </w:tabs>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Interest payment date of Interest Period 06 (for the period from April 20,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to and excluding July 20, 2023) and Interest Period 07 (for the period from July 20, 2023</w:t>
      </w:r>
      <w:r w:rsidR="00406BA8" w:rsidRPr="002B070B">
        <w:rPr>
          <w:rFonts w:ascii="Arial" w:hAnsi="Arial" w:cs="Arial"/>
          <w:color w:val="010000"/>
          <w:sz w:val="20"/>
          <w:szCs w:val="20"/>
        </w:rPr>
        <w:t>,</w:t>
      </w:r>
      <w:r w:rsidRPr="002B070B">
        <w:rPr>
          <w:rFonts w:ascii="Arial" w:hAnsi="Arial" w:cs="Arial"/>
          <w:color w:val="010000"/>
          <w:sz w:val="20"/>
          <w:szCs w:val="20"/>
        </w:rPr>
        <w:t xml:space="preserve"> to and excluding July 20, 2025) has been adjusted by bondholders to July 20, 2025.</w:t>
      </w:r>
    </w:p>
    <w:p w14:paraId="7C85BC3A" w14:textId="3210CDFE" w:rsidR="007578B0" w:rsidRPr="002B070B" w:rsidRDefault="00E0579D"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II. Report on bond holding</w:t>
      </w:r>
      <w:r w:rsidR="00B21636" w:rsidRPr="002B070B">
        <w:rPr>
          <w:rFonts w:ascii="Arial" w:hAnsi="Arial" w:cs="Arial"/>
          <w:color w:val="010000"/>
          <w:sz w:val="20"/>
          <w:szCs w:val="20"/>
        </w:rPr>
        <w:t xml:space="preserve"> by investor</w:t>
      </w:r>
      <w:r w:rsidRPr="002B070B">
        <w:rPr>
          <w:rFonts w:ascii="Arial" w:hAnsi="Arial" w:cs="Arial"/>
          <w:color w:val="010000"/>
          <w:sz w:val="20"/>
          <w:szCs w:val="20"/>
        </w:rPr>
        <w:t>s</w:t>
      </w:r>
      <w:bookmarkStart w:id="0" w:name="_GoBack"/>
      <w:bookmarkEnd w:id="0"/>
    </w:p>
    <w:p w14:paraId="3192F794" w14:textId="4710CC25" w:rsidR="007578B0" w:rsidRPr="002B070B" w:rsidRDefault="00B21636" w:rsidP="00406BA8">
      <w:pPr>
        <w:pBdr>
          <w:top w:val="nil"/>
          <w:left w:val="nil"/>
          <w:bottom w:val="nil"/>
          <w:right w:val="nil"/>
          <w:between w:val="nil"/>
        </w:pBdr>
        <w:spacing w:after="120" w:line="360" w:lineRule="auto"/>
        <w:jc w:val="both"/>
        <w:rPr>
          <w:rFonts w:ascii="Arial" w:eastAsia="Arial" w:hAnsi="Arial" w:cs="Arial"/>
          <w:color w:val="010000"/>
          <w:sz w:val="20"/>
          <w:szCs w:val="20"/>
        </w:rPr>
      </w:pPr>
      <w:r w:rsidRPr="002B070B">
        <w:rPr>
          <w:rFonts w:ascii="Arial" w:hAnsi="Arial" w:cs="Arial"/>
          <w:color w:val="010000"/>
          <w:sz w:val="20"/>
          <w:szCs w:val="20"/>
        </w:rPr>
        <w:t>(Reporting period from December 13, 2022</w:t>
      </w:r>
      <w:r w:rsidR="00406BA8" w:rsidRPr="002B070B">
        <w:rPr>
          <w:rFonts w:ascii="Arial" w:hAnsi="Arial" w:cs="Arial"/>
          <w:color w:val="010000"/>
          <w:sz w:val="20"/>
          <w:szCs w:val="20"/>
        </w:rPr>
        <w:t>,</w:t>
      </w:r>
      <w:r w:rsidRPr="002B070B">
        <w:rPr>
          <w:rFonts w:ascii="Arial" w:hAnsi="Arial" w:cs="Arial"/>
          <w:color w:val="010000"/>
          <w:sz w:val="20"/>
          <w:szCs w:val="20"/>
        </w:rPr>
        <w:t xml:space="preserve"> to the end of June 01, 2023) **</w:t>
      </w:r>
    </w:p>
    <w:p w14:paraId="6E30C201" w14:textId="77777777" w:rsidR="007578B0" w:rsidRPr="002B070B" w:rsidRDefault="00B21636" w:rsidP="00B337D9">
      <w:pPr>
        <w:pBdr>
          <w:top w:val="nil"/>
          <w:left w:val="nil"/>
          <w:bottom w:val="nil"/>
          <w:right w:val="nil"/>
          <w:between w:val="nil"/>
        </w:pBdr>
        <w:spacing w:after="120" w:line="360" w:lineRule="auto"/>
        <w:jc w:val="right"/>
        <w:rPr>
          <w:rFonts w:ascii="Arial" w:eastAsia="Arial" w:hAnsi="Arial" w:cs="Arial"/>
          <w:i/>
          <w:color w:val="010000"/>
          <w:sz w:val="20"/>
          <w:szCs w:val="20"/>
        </w:rPr>
      </w:pPr>
      <w:r w:rsidRPr="002B070B">
        <w:rPr>
          <w:rFonts w:ascii="Arial" w:hAnsi="Arial" w:cs="Arial"/>
          <w:i/>
          <w:color w:val="010000"/>
          <w:sz w:val="20"/>
          <w:szCs w:val="20"/>
        </w:rPr>
        <w:t>Unit: Billion VND</w:t>
      </w:r>
    </w:p>
    <w:tbl>
      <w:tblPr>
        <w:tblStyle w:v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100"/>
        <w:gridCol w:w="1096"/>
        <w:gridCol w:w="1104"/>
        <w:gridCol w:w="1102"/>
        <w:gridCol w:w="1100"/>
        <w:gridCol w:w="1109"/>
      </w:tblGrid>
      <w:tr w:rsidR="007578B0" w:rsidRPr="002B070B" w14:paraId="132A7BA8" w14:textId="77777777" w:rsidTr="00B337D9">
        <w:trPr>
          <w:jc w:val="center"/>
        </w:trPr>
        <w:tc>
          <w:tcPr>
            <w:tcW w:w="1334" w:type="pct"/>
            <w:vMerge w:val="restart"/>
            <w:shd w:val="clear" w:color="auto" w:fill="auto"/>
            <w:tcMar>
              <w:top w:w="0" w:type="dxa"/>
              <w:bottom w:w="0" w:type="dxa"/>
            </w:tcMar>
            <w:vAlign w:val="center"/>
          </w:tcPr>
          <w:p w14:paraId="5F8F8703" w14:textId="49BB5CD1"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Type of Investor</w:t>
            </w:r>
            <w:r w:rsidR="002A3892" w:rsidRPr="002B070B">
              <w:rPr>
                <w:rFonts w:ascii="Arial" w:hAnsi="Arial" w:cs="Arial"/>
                <w:color w:val="010000"/>
                <w:sz w:val="20"/>
                <w:szCs w:val="20"/>
              </w:rPr>
              <w:t>s</w:t>
            </w:r>
          </w:p>
        </w:tc>
        <w:tc>
          <w:tcPr>
            <w:tcW w:w="1218" w:type="pct"/>
            <w:gridSpan w:val="2"/>
            <w:shd w:val="clear" w:color="auto" w:fill="auto"/>
            <w:tcMar>
              <w:top w:w="0" w:type="dxa"/>
              <w:bottom w:w="0" w:type="dxa"/>
            </w:tcMar>
            <w:vAlign w:val="center"/>
          </w:tcPr>
          <w:p w14:paraId="203B789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Outstanding balance at the beginning of the period</w:t>
            </w:r>
          </w:p>
        </w:tc>
        <w:tc>
          <w:tcPr>
            <w:tcW w:w="1223" w:type="pct"/>
            <w:gridSpan w:val="2"/>
            <w:shd w:val="clear" w:color="auto" w:fill="auto"/>
            <w:tcMar>
              <w:top w:w="0" w:type="dxa"/>
              <w:bottom w:w="0" w:type="dxa"/>
            </w:tcMar>
            <w:vAlign w:val="center"/>
          </w:tcPr>
          <w:p w14:paraId="248E5EC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Change in the period</w:t>
            </w:r>
          </w:p>
        </w:tc>
        <w:tc>
          <w:tcPr>
            <w:tcW w:w="1225" w:type="pct"/>
            <w:gridSpan w:val="2"/>
            <w:shd w:val="clear" w:color="auto" w:fill="auto"/>
            <w:tcMar>
              <w:top w:w="0" w:type="dxa"/>
              <w:bottom w:w="0" w:type="dxa"/>
            </w:tcMar>
            <w:vAlign w:val="center"/>
          </w:tcPr>
          <w:p w14:paraId="04D5A51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Outstanding balance at the end of the period</w:t>
            </w:r>
          </w:p>
        </w:tc>
      </w:tr>
      <w:tr w:rsidR="007578B0" w:rsidRPr="002B070B" w14:paraId="7AEDD126" w14:textId="77777777" w:rsidTr="00B337D9">
        <w:trPr>
          <w:jc w:val="center"/>
        </w:trPr>
        <w:tc>
          <w:tcPr>
            <w:tcW w:w="1334" w:type="pct"/>
            <w:vMerge/>
            <w:shd w:val="clear" w:color="auto" w:fill="auto"/>
            <w:tcMar>
              <w:top w:w="0" w:type="dxa"/>
              <w:bottom w:w="0" w:type="dxa"/>
            </w:tcMar>
            <w:vAlign w:val="center"/>
          </w:tcPr>
          <w:p w14:paraId="5FD6A6E2"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0" w:type="pct"/>
            <w:shd w:val="clear" w:color="auto" w:fill="auto"/>
            <w:tcMar>
              <w:top w:w="0" w:type="dxa"/>
              <w:bottom w:w="0" w:type="dxa"/>
            </w:tcMar>
            <w:vAlign w:val="center"/>
          </w:tcPr>
          <w:p w14:paraId="48CD178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Value</w:t>
            </w:r>
          </w:p>
        </w:tc>
        <w:tc>
          <w:tcPr>
            <w:tcW w:w="608" w:type="pct"/>
            <w:shd w:val="clear" w:color="auto" w:fill="auto"/>
            <w:tcMar>
              <w:top w:w="0" w:type="dxa"/>
              <w:bottom w:w="0" w:type="dxa"/>
            </w:tcMar>
            <w:vAlign w:val="center"/>
          </w:tcPr>
          <w:p w14:paraId="7F0D41D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Rate (%)</w:t>
            </w:r>
          </w:p>
        </w:tc>
        <w:tc>
          <w:tcPr>
            <w:tcW w:w="612" w:type="pct"/>
            <w:shd w:val="clear" w:color="auto" w:fill="auto"/>
            <w:tcMar>
              <w:top w:w="0" w:type="dxa"/>
              <w:bottom w:w="0" w:type="dxa"/>
            </w:tcMar>
            <w:vAlign w:val="center"/>
          </w:tcPr>
          <w:p w14:paraId="3AA35867"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Value</w:t>
            </w:r>
          </w:p>
        </w:tc>
        <w:tc>
          <w:tcPr>
            <w:tcW w:w="611" w:type="pct"/>
            <w:shd w:val="clear" w:color="auto" w:fill="auto"/>
            <w:tcMar>
              <w:top w:w="0" w:type="dxa"/>
              <w:bottom w:w="0" w:type="dxa"/>
            </w:tcMar>
            <w:vAlign w:val="center"/>
          </w:tcPr>
          <w:p w14:paraId="278340F6"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Rate (%)</w:t>
            </w:r>
          </w:p>
        </w:tc>
        <w:tc>
          <w:tcPr>
            <w:tcW w:w="610" w:type="pct"/>
            <w:shd w:val="clear" w:color="auto" w:fill="auto"/>
            <w:tcMar>
              <w:top w:w="0" w:type="dxa"/>
              <w:bottom w:w="0" w:type="dxa"/>
            </w:tcMar>
            <w:vAlign w:val="center"/>
          </w:tcPr>
          <w:p w14:paraId="715FD32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Value</w:t>
            </w:r>
          </w:p>
        </w:tc>
        <w:tc>
          <w:tcPr>
            <w:tcW w:w="615" w:type="pct"/>
            <w:shd w:val="clear" w:color="auto" w:fill="auto"/>
            <w:tcMar>
              <w:top w:w="0" w:type="dxa"/>
              <w:bottom w:w="0" w:type="dxa"/>
            </w:tcMar>
            <w:vAlign w:val="center"/>
          </w:tcPr>
          <w:p w14:paraId="0434DC2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Rate (%)</w:t>
            </w:r>
          </w:p>
        </w:tc>
      </w:tr>
      <w:tr w:rsidR="007578B0" w:rsidRPr="002B070B" w14:paraId="1001A86C" w14:textId="77777777" w:rsidTr="00B337D9">
        <w:trPr>
          <w:jc w:val="center"/>
        </w:trPr>
        <w:tc>
          <w:tcPr>
            <w:tcW w:w="1334" w:type="pct"/>
            <w:shd w:val="clear" w:color="auto" w:fill="auto"/>
            <w:tcMar>
              <w:top w:w="0" w:type="dxa"/>
              <w:bottom w:w="0" w:type="dxa"/>
            </w:tcMar>
            <w:vAlign w:val="center"/>
          </w:tcPr>
          <w:p w14:paraId="107DA5FB" w14:textId="77777777" w:rsidR="007578B0" w:rsidRPr="002B070B" w:rsidRDefault="00B21636" w:rsidP="002B070B">
            <w:pPr>
              <w:numPr>
                <w:ilvl w:val="0"/>
                <w:numId w:val="1"/>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r w:rsidRPr="002B070B">
              <w:rPr>
                <w:rFonts w:ascii="Arial" w:hAnsi="Arial" w:cs="Arial"/>
                <w:color w:val="010000"/>
                <w:sz w:val="20"/>
                <w:szCs w:val="20"/>
              </w:rPr>
              <w:t>Domestic investors</w:t>
            </w:r>
          </w:p>
        </w:tc>
        <w:tc>
          <w:tcPr>
            <w:tcW w:w="610" w:type="pct"/>
            <w:shd w:val="clear" w:color="auto" w:fill="auto"/>
            <w:tcMar>
              <w:top w:w="0" w:type="dxa"/>
              <w:bottom w:w="0" w:type="dxa"/>
            </w:tcMar>
            <w:vAlign w:val="center"/>
          </w:tcPr>
          <w:p w14:paraId="3F55355F"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08" w:type="pct"/>
            <w:shd w:val="clear" w:color="auto" w:fill="auto"/>
            <w:tcMar>
              <w:top w:w="0" w:type="dxa"/>
              <w:bottom w:w="0" w:type="dxa"/>
            </w:tcMar>
            <w:vAlign w:val="center"/>
          </w:tcPr>
          <w:p w14:paraId="42ED5747"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2" w:type="pct"/>
            <w:shd w:val="clear" w:color="auto" w:fill="auto"/>
            <w:tcMar>
              <w:top w:w="0" w:type="dxa"/>
              <w:bottom w:w="0" w:type="dxa"/>
            </w:tcMar>
            <w:vAlign w:val="center"/>
          </w:tcPr>
          <w:p w14:paraId="263A0980"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1" w:type="pct"/>
            <w:shd w:val="clear" w:color="auto" w:fill="auto"/>
            <w:tcMar>
              <w:top w:w="0" w:type="dxa"/>
              <w:bottom w:w="0" w:type="dxa"/>
            </w:tcMar>
            <w:vAlign w:val="center"/>
          </w:tcPr>
          <w:p w14:paraId="1B8B2AA6"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0" w:type="pct"/>
            <w:shd w:val="clear" w:color="auto" w:fill="auto"/>
            <w:tcMar>
              <w:top w:w="0" w:type="dxa"/>
              <w:bottom w:w="0" w:type="dxa"/>
            </w:tcMar>
            <w:vAlign w:val="center"/>
          </w:tcPr>
          <w:p w14:paraId="44EFF028"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43DCFDCE" w14:textId="77777777" w:rsidR="007578B0" w:rsidRPr="002B070B" w:rsidRDefault="007578B0" w:rsidP="002B070B">
            <w:pPr>
              <w:spacing w:after="120" w:line="360" w:lineRule="auto"/>
              <w:jc w:val="center"/>
              <w:rPr>
                <w:rFonts w:ascii="Arial" w:eastAsia="Arial" w:hAnsi="Arial" w:cs="Arial"/>
                <w:color w:val="010000"/>
                <w:sz w:val="20"/>
                <w:szCs w:val="20"/>
              </w:rPr>
            </w:pPr>
          </w:p>
        </w:tc>
      </w:tr>
      <w:tr w:rsidR="007578B0" w:rsidRPr="002B070B" w14:paraId="09DBEE20" w14:textId="77777777" w:rsidTr="00B337D9">
        <w:trPr>
          <w:jc w:val="center"/>
        </w:trPr>
        <w:tc>
          <w:tcPr>
            <w:tcW w:w="1334" w:type="pct"/>
            <w:shd w:val="clear" w:color="auto" w:fill="auto"/>
            <w:tcMar>
              <w:top w:w="0" w:type="dxa"/>
              <w:bottom w:w="0" w:type="dxa"/>
            </w:tcMar>
            <w:vAlign w:val="center"/>
          </w:tcPr>
          <w:p w14:paraId="2AA6EFE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 Institutional investors</w:t>
            </w:r>
          </w:p>
        </w:tc>
        <w:tc>
          <w:tcPr>
            <w:tcW w:w="610" w:type="pct"/>
            <w:shd w:val="clear" w:color="auto" w:fill="auto"/>
            <w:tcMar>
              <w:top w:w="0" w:type="dxa"/>
              <w:bottom w:w="0" w:type="dxa"/>
            </w:tcMar>
            <w:vAlign w:val="center"/>
          </w:tcPr>
          <w:p w14:paraId="614D70DD"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08" w:type="pct"/>
            <w:shd w:val="clear" w:color="auto" w:fill="auto"/>
            <w:tcMar>
              <w:top w:w="0" w:type="dxa"/>
              <w:bottom w:w="0" w:type="dxa"/>
            </w:tcMar>
            <w:vAlign w:val="center"/>
          </w:tcPr>
          <w:p w14:paraId="72EFBE3A"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2" w:type="pct"/>
            <w:shd w:val="clear" w:color="auto" w:fill="auto"/>
            <w:tcMar>
              <w:top w:w="0" w:type="dxa"/>
              <w:bottom w:w="0" w:type="dxa"/>
            </w:tcMar>
            <w:vAlign w:val="center"/>
          </w:tcPr>
          <w:p w14:paraId="72619F25"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1" w:type="pct"/>
            <w:shd w:val="clear" w:color="auto" w:fill="auto"/>
            <w:tcMar>
              <w:top w:w="0" w:type="dxa"/>
              <w:bottom w:w="0" w:type="dxa"/>
            </w:tcMar>
            <w:vAlign w:val="center"/>
          </w:tcPr>
          <w:p w14:paraId="262333D2"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0" w:type="pct"/>
            <w:shd w:val="clear" w:color="auto" w:fill="auto"/>
            <w:tcMar>
              <w:top w:w="0" w:type="dxa"/>
              <w:bottom w:w="0" w:type="dxa"/>
            </w:tcMar>
            <w:vAlign w:val="center"/>
          </w:tcPr>
          <w:p w14:paraId="2F87CFFD" w14:textId="77777777" w:rsidR="007578B0" w:rsidRPr="002B070B" w:rsidRDefault="007578B0" w:rsidP="002B070B">
            <w:pP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0842E871" w14:textId="77777777" w:rsidR="007578B0" w:rsidRPr="002B070B" w:rsidRDefault="007578B0" w:rsidP="002B070B">
            <w:pPr>
              <w:spacing w:after="120" w:line="360" w:lineRule="auto"/>
              <w:jc w:val="center"/>
              <w:rPr>
                <w:rFonts w:ascii="Arial" w:eastAsia="Arial" w:hAnsi="Arial" w:cs="Arial"/>
                <w:color w:val="010000"/>
                <w:sz w:val="20"/>
                <w:szCs w:val="20"/>
              </w:rPr>
            </w:pPr>
          </w:p>
        </w:tc>
      </w:tr>
      <w:tr w:rsidR="007578B0" w:rsidRPr="002B070B" w14:paraId="229541A0" w14:textId="77777777" w:rsidTr="00B337D9">
        <w:trPr>
          <w:jc w:val="center"/>
        </w:trPr>
        <w:tc>
          <w:tcPr>
            <w:tcW w:w="1334" w:type="pct"/>
            <w:shd w:val="clear" w:color="auto" w:fill="auto"/>
            <w:tcMar>
              <w:top w:w="0" w:type="dxa"/>
              <w:bottom w:w="0" w:type="dxa"/>
            </w:tcMar>
            <w:vAlign w:val="center"/>
          </w:tcPr>
          <w:p w14:paraId="554B088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a) Credit institutions*</w:t>
            </w:r>
          </w:p>
        </w:tc>
        <w:tc>
          <w:tcPr>
            <w:tcW w:w="610" w:type="pct"/>
            <w:shd w:val="clear" w:color="auto" w:fill="auto"/>
            <w:tcMar>
              <w:top w:w="0" w:type="dxa"/>
              <w:bottom w:w="0" w:type="dxa"/>
            </w:tcMar>
            <w:vAlign w:val="center"/>
          </w:tcPr>
          <w:p w14:paraId="3A92369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164651F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22C379A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401DC37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50E1A6D8"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7BCA7FC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01096AB5" w14:textId="77777777" w:rsidTr="00B337D9">
        <w:trPr>
          <w:jc w:val="center"/>
        </w:trPr>
        <w:tc>
          <w:tcPr>
            <w:tcW w:w="1334" w:type="pct"/>
            <w:shd w:val="clear" w:color="auto" w:fill="auto"/>
            <w:tcMar>
              <w:top w:w="0" w:type="dxa"/>
              <w:bottom w:w="0" w:type="dxa"/>
            </w:tcMar>
            <w:vAlign w:val="center"/>
          </w:tcPr>
          <w:p w14:paraId="5303577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b) Investment fund</w:t>
            </w:r>
          </w:p>
        </w:tc>
        <w:tc>
          <w:tcPr>
            <w:tcW w:w="610" w:type="pct"/>
            <w:shd w:val="clear" w:color="auto" w:fill="auto"/>
            <w:tcMar>
              <w:top w:w="0" w:type="dxa"/>
              <w:bottom w:w="0" w:type="dxa"/>
            </w:tcMar>
            <w:vAlign w:val="center"/>
          </w:tcPr>
          <w:p w14:paraId="4240316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1,251.14</w:t>
            </w:r>
          </w:p>
        </w:tc>
        <w:tc>
          <w:tcPr>
            <w:tcW w:w="608" w:type="pct"/>
            <w:shd w:val="clear" w:color="auto" w:fill="auto"/>
            <w:tcMar>
              <w:top w:w="0" w:type="dxa"/>
              <w:bottom w:w="0" w:type="dxa"/>
            </w:tcMar>
            <w:vAlign w:val="center"/>
          </w:tcPr>
          <w:p w14:paraId="33B2F6F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96.24%</w:t>
            </w:r>
          </w:p>
        </w:tc>
        <w:tc>
          <w:tcPr>
            <w:tcW w:w="612" w:type="pct"/>
            <w:shd w:val="clear" w:color="auto" w:fill="auto"/>
            <w:tcMar>
              <w:top w:w="0" w:type="dxa"/>
              <w:bottom w:w="0" w:type="dxa"/>
            </w:tcMar>
            <w:vAlign w:val="center"/>
          </w:tcPr>
          <w:p w14:paraId="73B9E37B"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(46.04)</w:t>
            </w:r>
          </w:p>
        </w:tc>
        <w:tc>
          <w:tcPr>
            <w:tcW w:w="611" w:type="pct"/>
            <w:shd w:val="clear" w:color="auto" w:fill="auto"/>
            <w:tcMar>
              <w:top w:w="0" w:type="dxa"/>
              <w:bottom w:w="0" w:type="dxa"/>
            </w:tcMar>
            <w:vAlign w:val="center"/>
          </w:tcPr>
          <w:p w14:paraId="3D58DFE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-3.54%</w:t>
            </w:r>
          </w:p>
        </w:tc>
        <w:tc>
          <w:tcPr>
            <w:tcW w:w="610" w:type="pct"/>
            <w:shd w:val="clear" w:color="auto" w:fill="auto"/>
            <w:tcMar>
              <w:top w:w="0" w:type="dxa"/>
              <w:bottom w:w="0" w:type="dxa"/>
            </w:tcMar>
            <w:vAlign w:val="center"/>
          </w:tcPr>
          <w:p w14:paraId="1592119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1,205.10</w:t>
            </w:r>
          </w:p>
        </w:tc>
        <w:tc>
          <w:tcPr>
            <w:tcW w:w="615" w:type="pct"/>
            <w:shd w:val="clear" w:color="auto" w:fill="auto"/>
            <w:tcMar>
              <w:top w:w="0" w:type="dxa"/>
              <w:bottom w:w="0" w:type="dxa"/>
            </w:tcMar>
            <w:vAlign w:val="center"/>
          </w:tcPr>
          <w:p w14:paraId="1FB86BB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92.70%</w:t>
            </w:r>
          </w:p>
        </w:tc>
      </w:tr>
      <w:tr w:rsidR="007578B0" w:rsidRPr="002B070B" w14:paraId="18EFA279" w14:textId="77777777" w:rsidTr="00B337D9">
        <w:trPr>
          <w:jc w:val="center"/>
        </w:trPr>
        <w:tc>
          <w:tcPr>
            <w:tcW w:w="1334" w:type="pct"/>
            <w:shd w:val="clear" w:color="auto" w:fill="auto"/>
            <w:tcMar>
              <w:top w:w="0" w:type="dxa"/>
              <w:bottom w:w="0" w:type="dxa"/>
            </w:tcMar>
            <w:vAlign w:val="center"/>
          </w:tcPr>
          <w:p w14:paraId="614F54B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lastRenderedPageBreak/>
              <w:t>c) Securities companies</w:t>
            </w:r>
          </w:p>
        </w:tc>
        <w:tc>
          <w:tcPr>
            <w:tcW w:w="610" w:type="pct"/>
            <w:shd w:val="clear" w:color="auto" w:fill="auto"/>
            <w:tcMar>
              <w:top w:w="0" w:type="dxa"/>
              <w:bottom w:w="0" w:type="dxa"/>
            </w:tcMar>
            <w:vAlign w:val="center"/>
          </w:tcPr>
          <w:p w14:paraId="3B716B0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09232D6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2592988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03F3068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1D4F4B4E"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0608C16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523F3634" w14:textId="77777777" w:rsidTr="00B337D9">
        <w:trPr>
          <w:jc w:val="center"/>
        </w:trPr>
        <w:tc>
          <w:tcPr>
            <w:tcW w:w="1334" w:type="pct"/>
            <w:shd w:val="clear" w:color="auto" w:fill="auto"/>
            <w:tcMar>
              <w:top w:w="0" w:type="dxa"/>
              <w:bottom w:w="0" w:type="dxa"/>
            </w:tcMar>
            <w:vAlign w:val="center"/>
          </w:tcPr>
          <w:p w14:paraId="3C38B59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d) Insurance companies</w:t>
            </w:r>
          </w:p>
        </w:tc>
        <w:tc>
          <w:tcPr>
            <w:tcW w:w="610" w:type="pct"/>
            <w:shd w:val="clear" w:color="auto" w:fill="auto"/>
            <w:tcMar>
              <w:top w:w="0" w:type="dxa"/>
              <w:bottom w:w="0" w:type="dxa"/>
            </w:tcMar>
            <w:vAlign w:val="center"/>
          </w:tcPr>
          <w:p w14:paraId="669ABC6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593A290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27461166"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46162D9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5BDF5118"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2136E6C1"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1110B38C" w14:textId="77777777" w:rsidTr="00B337D9">
        <w:trPr>
          <w:jc w:val="center"/>
        </w:trPr>
        <w:tc>
          <w:tcPr>
            <w:tcW w:w="1334" w:type="pct"/>
            <w:shd w:val="clear" w:color="auto" w:fill="auto"/>
            <w:tcMar>
              <w:top w:w="0" w:type="dxa"/>
              <w:bottom w:w="0" w:type="dxa"/>
            </w:tcMar>
            <w:vAlign w:val="center"/>
          </w:tcPr>
          <w:p w14:paraId="5E0F5CA7"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2B070B">
              <w:rPr>
                <w:rFonts w:ascii="Arial" w:hAnsi="Arial" w:cs="Arial"/>
                <w:color w:val="010000"/>
                <w:sz w:val="20"/>
                <w:szCs w:val="20"/>
              </w:rPr>
              <w:t>dd</w:t>
            </w:r>
            <w:proofErr w:type="spellEnd"/>
            <w:r w:rsidRPr="002B070B">
              <w:rPr>
                <w:rFonts w:ascii="Arial" w:hAnsi="Arial" w:cs="Arial"/>
                <w:color w:val="010000"/>
                <w:sz w:val="20"/>
                <w:szCs w:val="20"/>
              </w:rPr>
              <w:t>) Other organizations</w:t>
            </w:r>
          </w:p>
        </w:tc>
        <w:tc>
          <w:tcPr>
            <w:tcW w:w="610" w:type="pct"/>
            <w:shd w:val="clear" w:color="auto" w:fill="auto"/>
            <w:tcMar>
              <w:top w:w="0" w:type="dxa"/>
              <w:bottom w:w="0" w:type="dxa"/>
            </w:tcMar>
            <w:vAlign w:val="center"/>
          </w:tcPr>
          <w:p w14:paraId="0E6264D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19.99</w:t>
            </w:r>
          </w:p>
        </w:tc>
        <w:tc>
          <w:tcPr>
            <w:tcW w:w="608" w:type="pct"/>
            <w:shd w:val="clear" w:color="auto" w:fill="auto"/>
            <w:tcMar>
              <w:top w:w="0" w:type="dxa"/>
              <w:bottom w:w="0" w:type="dxa"/>
            </w:tcMar>
            <w:vAlign w:val="center"/>
          </w:tcPr>
          <w:p w14:paraId="6FC41ED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1.54%</w:t>
            </w:r>
          </w:p>
        </w:tc>
        <w:tc>
          <w:tcPr>
            <w:tcW w:w="612" w:type="pct"/>
            <w:shd w:val="clear" w:color="auto" w:fill="auto"/>
            <w:tcMar>
              <w:top w:w="0" w:type="dxa"/>
              <w:bottom w:w="0" w:type="dxa"/>
            </w:tcMar>
            <w:vAlign w:val="center"/>
          </w:tcPr>
          <w:p w14:paraId="51E1076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(0.20)</w:t>
            </w:r>
          </w:p>
        </w:tc>
        <w:tc>
          <w:tcPr>
            <w:tcW w:w="611" w:type="pct"/>
            <w:shd w:val="clear" w:color="auto" w:fill="auto"/>
            <w:tcMar>
              <w:top w:w="0" w:type="dxa"/>
              <w:bottom w:w="0" w:type="dxa"/>
            </w:tcMar>
            <w:vAlign w:val="center"/>
          </w:tcPr>
          <w:p w14:paraId="40E61C3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-0.02%</w:t>
            </w:r>
          </w:p>
        </w:tc>
        <w:tc>
          <w:tcPr>
            <w:tcW w:w="610" w:type="pct"/>
            <w:shd w:val="clear" w:color="auto" w:fill="auto"/>
            <w:tcMar>
              <w:top w:w="0" w:type="dxa"/>
              <w:bottom w:w="0" w:type="dxa"/>
            </w:tcMar>
            <w:vAlign w:val="center"/>
          </w:tcPr>
          <w:p w14:paraId="56D43D7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19.79</w:t>
            </w:r>
          </w:p>
        </w:tc>
        <w:tc>
          <w:tcPr>
            <w:tcW w:w="615" w:type="pct"/>
            <w:shd w:val="clear" w:color="auto" w:fill="auto"/>
            <w:tcMar>
              <w:top w:w="0" w:type="dxa"/>
              <w:bottom w:w="0" w:type="dxa"/>
            </w:tcMar>
            <w:vAlign w:val="center"/>
          </w:tcPr>
          <w:p w14:paraId="274805B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1.52%</w:t>
            </w:r>
          </w:p>
        </w:tc>
      </w:tr>
      <w:tr w:rsidR="007578B0" w:rsidRPr="002B070B" w14:paraId="32F43778" w14:textId="77777777" w:rsidTr="00B337D9">
        <w:trPr>
          <w:jc w:val="center"/>
        </w:trPr>
        <w:tc>
          <w:tcPr>
            <w:tcW w:w="1334" w:type="pct"/>
            <w:shd w:val="clear" w:color="auto" w:fill="auto"/>
            <w:tcMar>
              <w:top w:w="0" w:type="dxa"/>
              <w:bottom w:w="0" w:type="dxa"/>
            </w:tcMar>
            <w:vAlign w:val="center"/>
          </w:tcPr>
          <w:p w14:paraId="48C4C8D1"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2. Individual investors</w:t>
            </w:r>
          </w:p>
        </w:tc>
        <w:tc>
          <w:tcPr>
            <w:tcW w:w="610" w:type="pct"/>
            <w:shd w:val="clear" w:color="auto" w:fill="auto"/>
            <w:tcMar>
              <w:top w:w="0" w:type="dxa"/>
              <w:bottom w:w="0" w:type="dxa"/>
            </w:tcMar>
            <w:vAlign w:val="center"/>
          </w:tcPr>
          <w:p w14:paraId="4058D44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28.88</w:t>
            </w:r>
          </w:p>
        </w:tc>
        <w:tc>
          <w:tcPr>
            <w:tcW w:w="608" w:type="pct"/>
            <w:shd w:val="clear" w:color="auto" w:fill="auto"/>
            <w:tcMar>
              <w:top w:w="0" w:type="dxa"/>
              <w:bottom w:w="0" w:type="dxa"/>
            </w:tcMar>
            <w:vAlign w:val="center"/>
          </w:tcPr>
          <w:p w14:paraId="2AD4F6F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2.22%</w:t>
            </w:r>
          </w:p>
        </w:tc>
        <w:tc>
          <w:tcPr>
            <w:tcW w:w="612" w:type="pct"/>
            <w:shd w:val="clear" w:color="auto" w:fill="auto"/>
            <w:tcMar>
              <w:top w:w="0" w:type="dxa"/>
              <w:bottom w:w="0" w:type="dxa"/>
            </w:tcMar>
            <w:vAlign w:val="center"/>
          </w:tcPr>
          <w:p w14:paraId="47136B0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46.22</w:t>
            </w:r>
          </w:p>
        </w:tc>
        <w:tc>
          <w:tcPr>
            <w:tcW w:w="611" w:type="pct"/>
            <w:shd w:val="clear" w:color="auto" w:fill="auto"/>
            <w:tcMar>
              <w:top w:w="0" w:type="dxa"/>
              <w:bottom w:w="0" w:type="dxa"/>
            </w:tcMar>
            <w:vAlign w:val="center"/>
          </w:tcPr>
          <w:p w14:paraId="4EFCAFD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3.56%</w:t>
            </w:r>
          </w:p>
        </w:tc>
        <w:tc>
          <w:tcPr>
            <w:tcW w:w="610" w:type="pct"/>
            <w:shd w:val="clear" w:color="auto" w:fill="auto"/>
            <w:tcMar>
              <w:top w:w="0" w:type="dxa"/>
              <w:bottom w:w="0" w:type="dxa"/>
            </w:tcMar>
            <w:vAlign w:val="center"/>
          </w:tcPr>
          <w:p w14:paraId="4EF2F14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75.10</w:t>
            </w:r>
          </w:p>
        </w:tc>
        <w:tc>
          <w:tcPr>
            <w:tcW w:w="615" w:type="pct"/>
            <w:shd w:val="clear" w:color="auto" w:fill="auto"/>
            <w:tcMar>
              <w:top w:w="0" w:type="dxa"/>
              <w:bottom w:w="0" w:type="dxa"/>
            </w:tcMar>
            <w:vAlign w:val="center"/>
          </w:tcPr>
          <w:p w14:paraId="591FC5C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5.78%</w:t>
            </w:r>
          </w:p>
        </w:tc>
      </w:tr>
      <w:tr w:rsidR="007578B0" w:rsidRPr="002B070B" w14:paraId="76145B64" w14:textId="77777777" w:rsidTr="00B337D9">
        <w:trPr>
          <w:jc w:val="center"/>
        </w:trPr>
        <w:tc>
          <w:tcPr>
            <w:tcW w:w="1334" w:type="pct"/>
            <w:shd w:val="clear" w:color="auto" w:fill="auto"/>
            <w:tcMar>
              <w:top w:w="0" w:type="dxa"/>
              <w:bottom w:w="0" w:type="dxa"/>
            </w:tcMar>
            <w:vAlign w:val="center"/>
          </w:tcPr>
          <w:p w14:paraId="5E00C2F2" w14:textId="77777777" w:rsidR="007578B0" w:rsidRPr="002B070B" w:rsidRDefault="00B21636" w:rsidP="002B070B">
            <w:pPr>
              <w:numPr>
                <w:ilvl w:val="0"/>
                <w:numId w:val="1"/>
              </w:numPr>
              <w:pBdr>
                <w:top w:val="nil"/>
                <w:left w:val="nil"/>
                <w:bottom w:val="nil"/>
                <w:right w:val="nil"/>
                <w:between w:val="nil"/>
              </w:pBdr>
              <w:spacing w:after="120" w:line="360" w:lineRule="auto"/>
              <w:ind w:left="0" w:firstLine="0"/>
              <w:jc w:val="center"/>
              <w:rPr>
                <w:rFonts w:ascii="Arial" w:eastAsia="Arial" w:hAnsi="Arial" w:cs="Arial"/>
                <w:color w:val="010000"/>
                <w:sz w:val="20"/>
                <w:szCs w:val="20"/>
              </w:rPr>
            </w:pPr>
            <w:r w:rsidRPr="002B070B">
              <w:rPr>
                <w:rFonts w:ascii="Arial" w:hAnsi="Arial" w:cs="Arial"/>
                <w:color w:val="010000"/>
                <w:sz w:val="20"/>
                <w:szCs w:val="20"/>
              </w:rPr>
              <w:t>Foreign investors</w:t>
            </w:r>
          </w:p>
        </w:tc>
        <w:tc>
          <w:tcPr>
            <w:tcW w:w="610" w:type="pct"/>
            <w:shd w:val="clear" w:color="auto" w:fill="auto"/>
            <w:tcMar>
              <w:top w:w="0" w:type="dxa"/>
              <w:bottom w:w="0" w:type="dxa"/>
            </w:tcMar>
            <w:vAlign w:val="center"/>
          </w:tcPr>
          <w:p w14:paraId="5E439B46"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08" w:type="pct"/>
            <w:shd w:val="clear" w:color="auto" w:fill="auto"/>
            <w:tcMar>
              <w:top w:w="0" w:type="dxa"/>
              <w:bottom w:w="0" w:type="dxa"/>
            </w:tcMar>
            <w:vAlign w:val="center"/>
          </w:tcPr>
          <w:p w14:paraId="62A8B2B4"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2" w:type="pct"/>
            <w:shd w:val="clear" w:color="auto" w:fill="auto"/>
            <w:tcMar>
              <w:top w:w="0" w:type="dxa"/>
              <w:bottom w:w="0" w:type="dxa"/>
            </w:tcMar>
            <w:vAlign w:val="center"/>
          </w:tcPr>
          <w:p w14:paraId="7CDCA144"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1" w:type="pct"/>
            <w:shd w:val="clear" w:color="auto" w:fill="auto"/>
            <w:tcMar>
              <w:top w:w="0" w:type="dxa"/>
              <w:bottom w:w="0" w:type="dxa"/>
            </w:tcMar>
            <w:vAlign w:val="center"/>
          </w:tcPr>
          <w:p w14:paraId="3723B3E7"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0" w:type="pct"/>
            <w:shd w:val="clear" w:color="auto" w:fill="auto"/>
            <w:tcMar>
              <w:top w:w="0" w:type="dxa"/>
              <w:bottom w:w="0" w:type="dxa"/>
            </w:tcMar>
            <w:vAlign w:val="center"/>
          </w:tcPr>
          <w:p w14:paraId="6FB964AE"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36585728"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7578B0" w:rsidRPr="002B070B" w14:paraId="1150BC2D" w14:textId="77777777" w:rsidTr="00B337D9">
        <w:trPr>
          <w:jc w:val="center"/>
        </w:trPr>
        <w:tc>
          <w:tcPr>
            <w:tcW w:w="1334" w:type="pct"/>
            <w:shd w:val="clear" w:color="auto" w:fill="auto"/>
            <w:tcMar>
              <w:top w:w="0" w:type="dxa"/>
              <w:bottom w:w="0" w:type="dxa"/>
            </w:tcMar>
            <w:vAlign w:val="center"/>
          </w:tcPr>
          <w:p w14:paraId="0602FE9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 Institutional investors</w:t>
            </w:r>
          </w:p>
        </w:tc>
        <w:tc>
          <w:tcPr>
            <w:tcW w:w="610" w:type="pct"/>
            <w:shd w:val="clear" w:color="auto" w:fill="auto"/>
            <w:tcMar>
              <w:top w:w="0" w:type="dxa"/>
              <w:bottom w:w="0" w:type="dxa"/>
            </w:tcMar>
            <w:vAlign w:val="center"/>
          </w:tcPr>
          <w:p w14:paraId="3BECE89A"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08" w:type="pct"/>
            <w:shd w:val="clear" w:color="auto" w:fill="auto"/>
            <w:tcMar>
              <w:top w:w="0" w:type="dxa"/>
              <w:bottom w:w="0" w:type="dxa"/>
            </w:tcMar>
            <w:vAlign w:val="center"/>
          </w:tcPr>
          <w:p w14:paraId="0AA43351"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2" w:type="pct"/>
            <w:shd w:val="clear" w:color="auto" w:fill="auto"/>
            <w:tcMar>
              <w:top w:w="0" w:type="dxa"/>
              <w:bottom w:w="0" w:type="dxa"/>
            </w:tcMar>
            <w:vAlign w:val="center"/>
          </w:tcPr>
          <w:p w14:paraId="585155F5"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1" w:type="pct"/>
            <w:shd w:val="clear" w:color="auto" w:fill="auto"/>
            <w:tcMar>
              <w:top w:w="0" w:type="dxa"/>
              <w:bottom w:w="0" w:type="dxa"/>
            </w:tcMar>
            <w:vAlign w:val="center"/>
          </w:tcPr>
          <w:p w14:paraId="435B864C"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0" w:type="pct"/>
            <w:shd w:val="clear" w:color="auto" w:fill="auto"/>
            <w:tcMar>
              <w:top w:w="0" w:type="dxa"/>
              <w:bottom w:w="0" w:type="dxa"/>
            </w:tcMar>
            <w:vAlign w:val="center"/>
          </w:tcPr>
          <w:p w14:paraId="293BF9D6"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7CEC539D"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7578B0" w:rsidRPr="002B070B" w14:paraId="78C7F25C" w14:textId="77777777" w:rsidTr="00B337D9">
        <w:trPr>
          <w:jc w:val="center"/>
        </w:trPr>
        <w:tc>
          <w:tcPr>
            <w:tcW w:w="1334" w:type="pct"/>
            <w:shd w:val="clear" w:color="auto" w:fill="auto"/>
            <w:tcMar>
              <w:top w:w="0" w:type="dxa"/>
              <w:bottom w:w="0" w:type="dxa"/>
            </w:tcMar>
            <w:vAlign w:val="center"/>
          </w:tcPr>
          <w:p w14:paraId="614FD3D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a) Credit institutions*</w:t>
            </w:r>
          </w:p>
        </w:tc>
        <w:tc>
          <w:tcPr>
            <w:tcW w:w="610" w:type="pct"/>
            <w:shd w:val="clear" w:color="auto" w:fill="auto"/>
            <w:tcMar>
              <w:top w:w="0" w:type="dxa"/>
              <w:bottom w:w="0" w:type="dxa"/>
            </w:tcMar>
            <w:vAlign w:val="center"/>
          </w:tcPr>
          <w:p w14:paraId="4E7F334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00DFFA67"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2B95E456"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3065837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41708757"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1504EB6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5A4C4EA8" w14:textId="77777777" w:rsidTr="00B337D9">
        <w:trPr>
          <w:jc w:val="center"/>
        </w:trPr>
        <w:tc>
          <w:tcPr>
            <w:tcW w:w="1334" w:type="pct"/>
            <w:shd w:val="clear" w:color="auto" w:fill="auto"/>
            <w:tcMar>
              <w:top w:w="0" w:type="dxa"/>
              <w:bottom w:w="0" w:type="dxa"/>
            </w:tcMar>
            <w:vAlign w:val="center"/>
          </w:tcPr>
          <w:p w14:paraId="29A99DB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b) Investment fund</w:t>
            </w:r>
          </w:p>
        </w:tc>
        <w:tc>
          <w:tcPr>
            <w:tcW w:w="610" w:type="pct"/>
            <w:shd w:val="clear" w:color="auto" w:fill="auto"/>
            <w:tcMar>
              <w:top w:w="0" w:type="dxa"/>
              <w:bottom w:w="0" w:type="dxa"/>
            </w:tcMar>
            <w:vAlign w:val="center"/>
          </w:tcPr>
          <w:p w14:paraId="6B1578A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31C1CD4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72EDAC8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2301BC86"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14AA1AC1" w14:textId="77777777" w:rsidR="007578B0" w:rsidRPr="002B070B" w:rsidRDefault="007578B0"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15" w:type="pct"/>
            <w:shd w:val="clear" w:color="auto" w:fill="auto"/>
            <w:tcMar>
              <w:top w:w="0" w:type="dxa"/>
              <w:bottom w:w="0" w:type="dxa"/>
            </w:tcMar>
            <w:vAlign w:val="center"/>
          </w:tcPr>
          <w:p w14:paraId="5CD108D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50EE1FC8" w14:textId="77777777" w:rsidTr="00B337D9">
        <w:trPr>
          <w:jc w:val="center"/>
        </w:trPr>
        <w:tc>
          <w:tcPr>
            <w:tcW w:w="1334" w:type="pct"/>
            <w:shd w:val="clear" w:color="auto" w:fill="auto"/>
            <w:tcMar>
              <w:top w:w="0" w:type="dxa"/>
              <w:bottom w:w="0" w:type="dxa"/>
            </w:tcMar>
            <w:vAlign w:val="center"/>
          </w:tcPr>
          <w:p w14:paraId="3C72723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c) Securities companies</w:t>
            </w:r>
          </w:p>
        </w:tc>
        <w:tc>
          <w:tcPr>
            <w:tcW w:w="610" w:type="pct"/>
            <w:shd w:val="clear" w:color="auto" w:fill="auto"/>
            <w:tcMar>
              <w:top w:w="0" w:type="dxa"/>
              <w:bottom w:w="0" w:type="dxa"/>
            </w:tcMar>
            <w:vAlign w:val="center"/>
          </w:tcPr>
          <w:p w14:paraId="0D94E3D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23F4FDC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08B98DB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517F9DEB"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27DA2FCB"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7868360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4ADD1BAD" w14:textId="77777777" w:rsidTr="00B337D9">
        <w:trPr>
          <w:jc w:val="center"/>
        </w:trPr>
        <w:tc>
          <w:tcPr>
            <w:tcW w:w="1334" w:type="pct"/>
            <w:shd w:val="clear" w:color="auto" w:fill="auto"/>
            <w:tcMar>
              <w:top w:w="0" w:type="dxa"/>
              <w:bottom w:w="0" w:type="dxa"/>
            </w:tcMar>
            <w:vAlign w:val="center"/>
          </w:tcPr>
          <w:p w14:paraId="5A462920"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d) Insurance companies</w:t>
            </w:r>
          </w:p>
        </w:tc>
        <w:tc>
          <w:tcPr>
            <w:tcW w:w="610" w:type="pct"/>
            <w:shd w:val="clear" w:color="auto" w:fill="auto"/>
            <w:tcMar>
              <w:top w:w="0" w:type="dxa"/>
              <w:bottom w:w="0" w:type="dxa"/>
            </w:tcMar>
            <w:vAlign w:val="center"/>
          </w:tcPr>
          <w:p w14:paraId="50A498E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558B8FF1"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661DF43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262E5F0F"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5C019911"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4459FA1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2B3D19D1" w14:textId="77777777" w:rsidTr="00B337D9">
        <w:trPr>
          <w:jc w:val="center"/>
        </w:trPr>
        <w:tc>
          <w:tcPr>
            <w:tcW w:w="1334" w:type="pct"/>
            <w:shd w:val="clear" w:color="auto" w:fill="auto"/>
            <w:tcMar>
              <w:top w:w="0" w:type="dxa"/>
              <w:bottom w:w="0" w:type="dxa"/>
            </w:tcMar>
            <w:vAlign w:val="center"/>
          </w:tcPr>
          <w:p w14:paraId="1F7BA05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proofErr w:type="spellStart"/>
            <w:r w:rsidRPr="002B070B">
              <w:rPr>
                <w:rFonts w:ascii="Arial" w:hAnsi="Arial" w:cs="Arial"/>
                <w:color w:val="010000"/>
                <w:sz w:val="20"/>
                <w:szCs w:val="20"/>
              </w:rPr>
              <w:t>dd</w:t>
            </w:r>
            <w:proofErr w:type="spellEnd"/>
            <w:r w:rsidRPr="002B070B">
              <w:rPr>
                <w:rFonts w:ascii="Arial" w:hAnsi="Arial" w:cs="Arial"/>
                <w:color w:val="010000"/>
                <w:sz w:val="20"/>
                <w:szCs w:val="20"/>
              </w:rPr>
              <w:t>) Other organizations</w:t>
            </w:r>
          </w:p>
        </w:tc>
        <w:tc>
          <w:tcPr>
            <w:tcW w:w="610" w:type="pct"/>
            <w:shd w:val="clear" w:color="auto" w:fill="auto"/>
            <w:tcMar>
              <w:top w:w="0" w:type="dxa"/>
              <w:bottom w:w="0" w:type="dxa"/>
            </w:tcMar>
            <w:vAlign w:val="center"/>
          </w:tcPr>
          <w:p w14:paraId="64C2803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14BEC08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74ED24D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1" w:type="pct"/>
            <w:shd w:val="clear" w:color="auto" w:fill="auto"/>
            <w:tcMar>
              <w:top w:w="0" w:type="dxa"/>
              <w:bottom w:w="0" w:type="dxa"/>
            </w:tcMar>
            <w:vAlign w:val="center"/>
          </w:tcPr>
          <w:p w14:paraId="48AAC9C8"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0" w:type="pct"/>
            <w:shd w:val="clear" w:color="auto" w:fill="auto"/>
            <w:tcMar>
              <w:top w:w="0" w:type="dxa"/>
              <w:bottom w:w="0" w:type="dxa"/>
            </w:tcMar>
            <w:vAlign w:val="center"/>
          </w:tcPr>
          <w:p w14:paraId="5B0BE5BB"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5" w:type="pct"/>
            <w:shd w:val="clear" w:color="auto" w:fill="auto"/>
            <w:tcMar>
              <w:top w:w="0" w:type="dxa"/>
              <w:bottom w:w="0" w:type="dxa"/>
            </w:tcMar>
            <w:vAlign w:val="center"/>
          </w:tcPr>
          <w:p w14:paraId="72791C3C"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r>
      <w:tr w:rsidR="007578B0" w:rsidRPr="002B070B" w14:paraId="119FF705" w14:textId="77777777" w:rsidTr="00B337D9">
        <w:trPr>
          <w:jc w:val="center"/>
        </w:trPr>
        <w:tc>
          <w:tcPr>
            <w:tcW w:w="1334" w:type="pct"/>
            <w:shd w:val="clear" w:color="auto" w:fill="auto"/>
            <w:tcMar>
              <w:top w:w="0" w:type="dxa"/>
              <w:bottom w:w="0" w:type="dxa"/>
            </w:tcMar>
            <w:vAlign w:val="center"/>
          </w:tcPr>
          <w:p w14:paraId="62142FAE"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2. Individual investors</w:t>
            </w:r>
          </w:p>
        </w:tc>
        <w:tc>
          <w:tcPr>
            <w:tcW w:w="610" w:type="pct"/>
            <w:shd w:val="clear" w:color="auto" w:fill="auto"/>
            <w:tcMar>
              <w:top w:w="0" w:type="dxa"/>
              <w:bottom w:w="0" w:type="dxa"/>
            </w:tcMar>
            <w:vAlign w:val="center"/>
          </w:tcPr>
          <w:p w14:paraId="3B760E5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08" w:type="pct"/>
            <w:shd w:val="clear" w:color="auto" w:fill="auto"/>
            <w:tcMar>
              <w:top w:w="0" w:type="dxa"/>
              <w:bottom w:w="0" w:type="dxa"/>
            </w:tcMar>
            <w:vAlign w:val="center"/>
          </w:tcPr>
          <w:p w14:paraId="3B11CBB2"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w:t>
            </w:r>
          </w:p>
        </w:tc>
        <w:tc>
          <w:tcPr>
            <w:tcW w:w="612" w:type="pct"/>
            <w:shd w:val="clear" w:color="auto" w:fill="auto"/>
            <w:tcMar>
              <w:top w:w="0" w:type="dxa"/>
              <w:bottom w:w="0" w:type="dxa"/>
            </w:tcMar>
            <w:vAlign w:val="center"/>
          </w:tcPr>
          <w:p w14:paraId="34C0313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0.01</w:t>
            </w:r>
          </w:p>
        </w:tc>
        <w:tc>
          <w:tcPr>
            <w:tcW w:w="611" w:type="pct"/>
            <w:shd w:val="clear" w:color="auto" w:fill="auto"/>
            <w:tcMar>
              <w:top w:w="0" w:type="dxa"/>
              <w:bottom w:w="0" w:type="dxa"/>
            </w:tcMar>
            <w:vAlign w:val="center"/>
          </w:tcPr>
          <w:p w14:paraId="4C2C3A95"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0.00%</w:t>
            </w:r>
          </w:p>
        </w:tc>
        <w:tc>
          <w:tcPr>
            <w:tcW w:w="610" w:type="pct"/>
            <w:shd w:val="clear" w:color="auto" w:fill="auto"/>
            <w:tcMar>
              <w:top w:w="0" w:type="dxa"/>
              <w:bottom w:w="0" w:type="dxa"/>
            </w:tcMar>
            <w:vAlign w:val="center"/>
          </w:tcPr>
          <w:p w14:paraId="57D043C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0.01</w:t>
            </w:r>
          </w:p>
        </w:tc>
        <w:tc>
          <w:tcPr>
            <w:tcW w:w="615" w:type="pct"/>
            <w:shd w:val="clear" w:color="auto" w:fill="auto"/>
            <w:tcMar>
              <w:top w:w="0" w:type="dxa"/>
              <w:bottom w:w="0" w:type="dxa"/>
            </w:tcMar>
            <w:vAlign w:val="center"/>
          </w:tcPr>
          <w:p w14:paraId="6BC5782B"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0.00%</w:t>
            </w:r>
          </w:p>
        </w:tc>
      </w:tr>
      <w:tr w:rsidR="007578B0" w:rsidRPr="002B070B" w14:paraId="20466AB0" w14:textId="77777777" w:rsidTr="00B337D9">
        <w:trPr>
          <w:jc w:val="center"/>
        </w:trPr>
        <w:tc>
          <w:tcPr>
            <w:tcW w:w="1334" w:type="pct"/>
            <w:shd w:val="clear" w:color="auto" w:fill="auto"/>
            <w:tcMar>
              <w:top w:w="0" w:type="dxa"/>
              <w:bottom w:w="0" w:type="dxa"/>
            </w:tcMar>
            <w:vAlign w:val="center"/>
          </w:tcPr>
          <w:p w14:paraId="40D435C9"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Total</w:t>
            </w:r>
          </w:p>
        </w:tc>
        <w:tc>
          <w:tcPr>
            <w:tcW w:w="610" w:type="pct"/>
            <w:shd w:val="clear" w:color="auto" w:fill="auto"/>
            <w:tcMar>
              <w:top w:w="0" w:type="dxa"/>
              <w:bottom w:w="0" w:type="dxa"/>
            </w:tcMar>
            <w:vAlign w:val="center"/>
          </w:tcPr>
          <w:p w14:paraId="282037FD"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1,300.00</w:t>
            </w:r>
          </w:p>
        </w:tc>
        <w:tc>
          <w:tcPr>
            <w:tcW w:w="608" w:type="pct"/>
            <w:shd w:val="clear" w:color="auto" w:fill="auto"/>
            <w:tcMar>
              <w:top w:w="0" w:type="dxa"/>
              <w:bottom w:w="0" w:type="dxa"/>
            </w:tcMar>
            <w:vAlign w:val="center"/>
          </w:tcPr>
          <w:p w14:paraId="7710A1D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100.00%</w:t>
            </w:r>
          </w:p>
        </w:tc>
        <w:tc>
          <w:tcPr>
            <w:tcW w:w="612" w:type="pct"/>
            <w:shd w:val="clear" w:color="auto" w:fill="auto"/>
            <w:tcMar>
              <w:top w:w="0" w:type="dxa"/>
              <w:bottom w:w="0" w:type="dxa"/>
            </w:tcMar>
            <w:vAlign w:val="center"/>
          </w:tcPr>
          <w:p w14:paraId="541D0F57"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0.00</w:t>
            </w:r>
          </w:p>
        </w:tc>
        <w:tc>
          <w:tcPr>
            <w:tcW w:w="611" w:type="pct"/>
            <w:shd w:val="clear" w:color="auto" w:fill="auto"/>
            <w:tcMar>
              <w:top w:w="0" w:type="dxa"/>
              <w:bottom w:w="0" w:type="dxa"/>
            </w:tcMar>
            <w:vAlign w:val="center"/>
          </w:tcPr>
          <w:p w14:paraId="79E267D3"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0.00</w:t>
            </w:r>
          </w:p>
        </w:tc>
        <w:tc>
          <w:tcPr>
            <w:tcW w:w="610" w:type="pct"/>
            <w:shd w:val="clear" w:color="auto" w:fill="auto"/>
            <w:tcMar>
              <w:top w:w="0" w:type="dxa"/>
              <w:bottom w:w="0" w:type="dxa"/>
            </w:tcMar>
            <w:vAlign w:val="center"/>
          </w:tcPr>
          <w:p w14:paraId="7DB60714"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1,300.00</w:t>
            </w:r>
          </w:p>
        </w:tc>
        <w:tc>
          <w:tcPr>
            <w:tcW w:w="615" w:type="pct"/>
            <w:shd w:val="clear" w:color="auto" w:fill="auto"/>
            <w:tcMar>
              <w:top w:w="0" w:type="dxa"/>
              <w:bottom w:w="0" w:type="dxa"/>
            </w:tcMar>
            <w:vAlign w:val="center"/>
          </w:tcPr>
          <w:p w14:paraId="4B3A8D2A" w14:textId="77777777" w:rsidR="007578B0" w:rsidRPr="002B070B" w:rsidRDefault="00B21636" w:rsidP="002B070B">
            <w:pPr>
              <w:pBdr>
                <w:top w:val="nil"/>
                <w:left w:val="nil"/>
                <w:bottom w:val="nil"/>
                <w:right w:val="nil"/>
                <w:between w:val="nil"/>
              </w:pBdr>
              <w:spacing w:after="120" w:line="360" w:lineRule="auto"/>
              <w:jc w:val="center"/>
              <w:rPr>
                <w:rFonts w:ascii="Arial" w:eastAsia="Arial" w:hAnsi="Arial" w:cs="Arial"/>
                <w:color w:val="010000"/>
                <w:sz w:val="20"/>
                <w:szCs w:val="20"/>
              </w:rPr>
            </w:pPr>
            <w:r w:rsidRPr="002B070B">
              <w:rPr>
                <w:rFonts w:ascii="Arial" w:hAnsi="Arial" w:cs="Arial"/>
                <w:color w:val="010000"/>
                <w:sz w:val="20"/>
                <w:szCs w:val="20"/>
              </w:rPr>
              <w:t>100.00%</w:t>
            </w:r>
          </w:p>
        </w:tc>
      </w:tr>
    </w:tbl>
    <w:p w14:paraId="4877A107" w14:textId="6A747FDB" w:rsidR="007578B0" w:rsidRPr="002B070B" w:rsidRDefault="00B21636" w:rsidP="00406BA8">
      <w:pPr>
        <w:pBdr>
          <w:top w:val="nil"/>
          <w:left w:val="nil"/>
          <w:bottom w:val="nil"/>
          <w:right w:val="nil"/>
          <w:between w:val="nil"/>
        </w:pBdr>
        <w:spacing w:after="120" w:line="360" w:lineRule="auto"/>
        <w:jc w:val="both"/>
        <w:rPr>
          <w:rFonts w:ascii="Arial" w:eastAsia="Arial" w:hAnsi="Arial" w:cs="Arial"/>
          <w:i/>
          <w:color w:val="010000"/>
          <w:sz w:val="20"/>
          <w:szCs w:val="20"/>
        </w:rPr>
      </w:pPr>
      <w:r w:rsidRPr="002B070B">
        <w:rPr>
          <w:rFonts w:ascii="Arial" w:hAnsi="Arial" w:cs="Arial"/>
          <w:i/>
          <w:color w:val="010000"/>
          <w:sz w:val="20"/>
          <w:szCs w:val="20"/>
        </w:rPr>
        <w:t xml:space="preserve">* Credit institutions include commercial banks, financial companies, finance leasing companies, microfinance institutions, </w:t>
      </w:r>
      <w:r w:rsidR="00406BA8" w:rsidRPr="002B070B">
        <w:rPr>
          <w:rFonts w:ascii="Arial" w:hAnsi="Arial" w:cs="Arial"/>
          <w:i/>
          <w:color w:val="010000"/>
          <w:sz w:val="20"/>
          <w:szCs w:val="20"/>
        </w:rPr>
        <w:t xml:space="preserve">and </w:t>
      </w:r>
      <w:r w:rsidRPr="002B070B">
        <w:rPr>
          <w:rFonts w:ascii="Arial" w:hAnsi="Arial" w:cs="Arial"/>
          <w:i/>
          <w:color w:val="010000"/>
          <w:sz w:val="20"/>
          <w:szCs w:val="20"/>
        </w:rPr>
        <w:t>people's credit funds.</w:t>
      </w:r>
    </w:p>
    <w:p w14:paraId="30696123" w14:textId="1259DB4A" w:rsidR="007578B0" w:rsidRPr="002B070B" w:rsidRDefault="00B21636" w:rsidP="00406BA8">
      <w:pPr>
        <w:pBdr>
          <w:top w:val="nil"/>
          <w:left w:val="nil"/>
          <w:bottom w:val="nil"/>
          <w:right w:val="nil"/>
          <w:between w:val="nil"/>
        </w:pBdr>
        <w:spacing w:after="120" w:line="360" w:lineRule="auto"/>
        <w:jc w:val="both"/>
        <w:rPr>
          <w:rFonts w:ascii="Arial" w:eastAsia="Arial" w:hAnsi="Arial" w:cs="Arial"/>
          <w:i/>
          <w:color w:val="010000"/>
          <w:sz w:val="20"/>
          <w:szCs w:val="20"/>
        </w:rPr>
      </w:pPr>
      <w:r w:rsidRPr="002B070B">
        <w:rPr>
          <w:rFonts w:ascii="Arial" w:hAnsi="Arial" w:cs="Arial"/>
          <w:i/>
          <w:color w:val="010000"/>
          <w:sz w:val="20"/>
          <w:szCs w:val="20"/>
        </w:rPr>
        <w:t>** December 13, 2022</w:t>
      </w:r>
      <w:r w:rsidR="00406BA8" w:rsidRPr="002B070B">
        <w:rPr>
          <w:rFonts w:ascii="Arial" w:hAnsi="Arial" w:cs="Arial"/>
          <w:i/>
          <w:color w:val="010000"/>
          <w:sz w:val="20"/>
          <w:szCs w:val="20"/>
        </w:rPr>
        <w:t>,</w:t>
      </w:r>
      <w:r w:rsidRPr="002B070B">
        <w:rPr>
          <w:rFonts w:ascii="Arial" w:hAnsi="Arial" w:cs="Arial"/>
          <w:i/>
          <w:color w:val="010000"/>
          <w:sz w:val="20"/>
          <w:szCs w:val="20"/>
        </w:rPr>
        <w:t xml:space="preserve"> is the record date for the list of bondholders to carry out procedures to collect bondholders’ opinions on the addition of security measures as well as other contents related to security measures and authorize the implementation of procedures to redeem bonds before the maturity date when they arise;</w:t>
      </w:r>
    </w:p>
    <w:p w14:paraId="55C03C27" w14:textId="1F220E28" w:rsidR="007578B0" w:rsidRPr="002B070B" w:rsidRDefault="00B21636" w:rsidP="00406BA8">
      <w:pPr>
        <w:pBdr>
          <w:top w:val="nil"/>
          <w:left w:val="nil"/>
          <w:bottom w:val="nil"/>
          <w:right w:val="nil"/>
          <w:between w:val="nil"/>
        </w:pBdr>
        <w:spacing w:after="120" w:line="360" w:lineRule="auto"/>
        <w:jc w:val="both"/>
        <w:rPr>
          <w:rFonts w:ascii="Arial" w:eastAsia="Arial" w:hAnsi="Arial" w:cs="Arial"/>
          <w:i/>
          <w:color w:val="010000"/>
          <w:sz w:val="20"/>
          <w:szCs w:val="20"/>
        </w:rPr>
      </w:pPr>
      <w:bookmarkStart w:id="1" w:name="_heading=h.gjdgxs"/>
      <w:bookmarkEnd w:id="1"/>
      <w:r w:rsidRPr="002B070B">
        <w:rPr>
          <w:rFonts w:ascii="Arial" w:hAnsi="Arial" w:cs="Arial"/>
          <w:i/>
          <w:color w:val="010000"/>
          <w:sz w:val="20"/>
          <w:szCs w:val="20"/>
        </w:rPr>
        <w:t>June 1, 2023</w:t>
      </w:r>
      <w:r w:rsidR="00406BA8" w:rsidRPr="002B070B">
        <w:rPr>
          <w:rFonts w:ascii="Arial" w:hAnsi="Arial" w:cs="Arial"/>
          <w:i/>
          <w:color w:val="010000"/>
          <w:sz w:val="20"/>
          <w:szCs w:val="20"/>
        </w:rPr>
        <w:t>,</w:t>
      </w:r>
      <w:r w:rsidRPr="002B070B">
        <w:rPr>
          <w:rFonts w:ascii="Arial" w:hAnsi="Arial" w:cs="Arial"/>
          <w:i/>
          <w:color w:val="010000"/>
          <w:sz w:val="20"/>
          <w:szCs w:val="20"/>
        </w:rPr>
        <w:t xml:space="preserve"> is the record date for the list of bondholders to carry out procedures to collect bondholders’ opinions on amending and supplementing certain contents of bond documents, changing the interest payment date, maturity date</w:t>
      </w:r>
      <w:r w:rsidR="00406BA8" w:rsidRPr="002B070B">
        <w:rPr>
          <w:rFonts w:ascii="Arial" w:hAnsi="Arial" w:cs="Arial"/>
          <w:i/>
          <w:color w:val="010000"/>
          <w:sz w:val="20"/>
          <w:szCs w:val="20"/>
        </w:rPr>
        <w:t>,</w:t>
      </w:r>
      <w:r w:rsidRPr="002B070B">
        <w:rPr>
          <w:rFonts w:ascii="Arial" w:hAnsi="Arial" w:cs="Arial"/>
          <w:i/>
          <w:color w:val="010000"/>
          <w:sz w:val="20"/>
          <w:szCs w:val="20"/>
        </w:rPr>
        <w:t xml:space="preserve"> and issues related to collateral for bonds.</w:t>
      </w:r>
    </w:p>
    <w:sectPr w:rsidR="007578B0" w:rsidRPr="002B070B" w:rsidSect="00E057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92F34"/>
    <w:multiLevelType w:val="multilevel"/>
    <w:tmpl w:val="186C5ED6"/>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F43683"/>
    <w:multiLevelType w:val="multilevel"/>
    <w:tmpl w:val="19AADFFE"/>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1A1725"/>
    <w:multiLevelType w:val="multilevel"/>
    <w:tmpl w:val="DCB47AD0"/>
    <w:lvl w:ilvl="0">
      <w:start w:val="1"/>
      <w:numFmt w:val="upperRoman"/>
      <w:lvlText w:val="%1."/>
      <w:lvlJc w:val="righ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B0"/>
    <w:rsid w:val="000A7473"/>
    <w:rsid w:val="00137369"/>
    <w:rsid w:val="001B233C"/>
    <w:rsid w:val="002A3892"/>
    <w:rsid w:val="002B070B"/>
    <w:rsid w:val="00406BA8"/>
    <w:rsid w:val="007578B0"/>
    <w:rsid w:val="00B21636"/>
    <w:rsid w:val="00B337D9"/>
    <w:rsid w:val="00E0579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566F"/>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38"/>
      <w:szCs w:val="38"/>
      <w:u w:val="none"/>
      <w:shd w:val="clear" w:color="auto" w:fill="auto"/>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pPr>
      <w:jc w:val="center"/>
    </w:pPr>
    <w:rPr>
      <w:rFonts w:ascii="Times New Roman" w:eastAsia="Times New Roman" w:hAnsi="Times New Roman" w:cs="Times New Roman"/>
      <w:i/>
      <w:iCs/>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pPr>
      <w:spacing w:line="283" w:lineRule="auto"/>
    </w:pPr>
    <w:rPr>
      <w:rFonts w:ascii="Times New Roman" w:eastAsia="Times New Roman" w:hAnsi="Times New Roman" w:cs="Times New Roman"/>
      <w:i/>
      <w:iCs/>
      <w:sz w:val="22"/>
      <w:szCs w:val="22"/>
    </w:rPr>
  </w:style>
  <w:style w:type="paragraph" w:customStyle="1" w:styleId="Vnbnnidung20">
    <w:name w:val="Văn bản nội dung (2)"/>
    <w:basedOn w:val="Normal"/>
    <w:link w:val="Vnbnnidung2"/>
    <w:pPr>
      <w:spacing w:line="204" w:lineRule="auto"/>
      <w:ind w:left="240"/>
    </w:pPr>
    <w:rPr>
      <w:rFonts w:ascii="Arial" w:eastAsia="Arial" w:hAnsi="Arial" w:cs="Arial"/>
      <w:sz w:val="16"/>
      <w:szCs w:val="16"/>
    </w:rPr>
  </w:style>
  <w:style w:type="paragraph" w:customStyle="1" w:styleId="Tiu10">
    <w:name w:val="Tiêu đề #1"/>
    <w:basedOn w:val="Normal"/>
    <w:link w:val="Tiu1"/>
    <w:pPr>
      <w:ind w:firstLine="240"/>
      <w:outlineLvl w:val="0"/>
    </w:pPr>
    <w:rPr>
      <w:rFonts w:ascii="Arial" w:eastAsia="Arial" w:hAnsi="Arial" w:cs="Arial"/>
      <w:smallCaps/>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DUOKWqMLKJnVCtm00QgWEPT1fw==">CgMxLjAyCGguZ2pkZ3hzOAByITFOOTV0eEVYczhzSjFyR284cnA4QWt2ckhNSnNpb0xHTA==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518</Words>
  <Characters>2591</Characters>
  <Application>Microsoft Office Word</Application>
  <DocSecurity>0</DocSecurity>
  <Lines>215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7</cp:revision>
  <dcterms:created xsi:type="dcterms:W3CDTF">2024-01-31T03:40:00Z</dcterms:created>
  <dcterms:modified xsi:type="dcterms:W3CDTF">2024-02-01T08:45:00Z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f7c8e035f8fff0649ce80ac993b16ecd0a2923b0db16311482e234dedfb2b278</vt:lpwstr>
  </property>
</Properties>
</file>