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2D6E" w:rsidRPr="000F7169" w:rsidRDefault="005259FE" w:rsidP="006C595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0F7169">
        <w:rPr>
          <w:rFonts w:ascii="Arial" w:hAnsi="Arial" w:cs="Arial"/>
          <w:b/>
          <w:color w:val="010000"/>
          <w:sz w:val="20"/>
        </w:rPr>
        <w:t>SHG</w:t>
      </w:r>
      <w:proofErr w:type="spellEnd"/>
      <w:r w:rsidRPr="000F7169">
        <w:rPr>
          <w:rFonts w:ascii="Arial" w:hAnsi="Arial" w:cs="Arial"/>
          <w:b/>
          <w:color w:val="010000"/>
          <w:sz w:val="20"/>
        </w:rPr>
        <w:t>: Board Resolution</w:t>
      </w:r>
    </w:p>
    <w:p w14:paraId="00000002" w14:textId="77777777" w:rsidR="00C42D6E" w:rsidRPr="000F7169" w:rsidRDefault="005259FE" w:rsidP="006C595C">
      <w:pPr>
        <w:pBdr>
          <w:top w:val="nil"/>
          <w:left w:val="nil"/>
          <w:bottom w:val="nil"/>
          <w:right w:val="nil"/>
          <w:between w:val="nil"/>
        </w:pBdr>
        <w:spacing w:after="120" w:line="360" w:lineRule="auto"/>
        <w:rPr>
          <w:rFonts w:ascii="Arial" w:eastAsia="Arial" w:hAnsi="Arial" w:cs="Arial"/>
          <w:color w:val="010000"/>
          <w:sz w:val="20"/>
          <w:szCs w:val="20"/>
        </w:rPr>
      </w:pPr>
      <w:r w:rsidRPr="000F7169">
        <w:rPr>
          <w:rFonts w:ascii="Arial" w:hAnsi="Arial" w:cs="Arial"/>
          <w:color w:val="010000"/>
          <w:sz w:val="20"/>
        </w:rPr>
        <w:t xml:space="preserve">On January 29, 2024, </w:t>
      </w:r>
      <w:proofErr w:type="spellStart"/>
      <w:r w:rsidRPr="000F7169">
        <w:rPr>
          <w:rFonts w:ascii="Arial" w:hAnsi="Arial" w:cs="Arial"/>
          <w:color w:val="010000"/>
          <w:sz w:val="20"/>
        </w:rPr>
        <w:t>SongHong</w:t>
      </w:r>
      <w:proofErr w:type="spellEnd"/>
      <w:r w:rsidRPr="000F7169">
        <w:rPr>
          <w:rFonts w:ascii="Arial" w:hAnsi="Arial" w:cs="Arial"/>
          <w:color w:val="010000"/>
          <w:sz w:val="20"/>
        </w:rPr>
        <w:t xml:space="preserve"> Corporation announced Resolution No. 10/NQ-</w:t>
      </w:r>
      <w:proofErr w:type="spellStart"/>
      <w:r w:rsidRPr="000F7169">
        <w:rPr>
          <w:rFonts w:ascii="Arial" w:hAnsi="Arial" w:cs="Arial"/>
          <w:color w:val="010000"/>
          <w:sz w:val="20"/>
        </w:rPr>
        <w:t>HDQT</w:t>
      </w:r>
      <w:proofErr w:type="spellEnd"/>
      <w:r w:rsidRPr="000F7169">
        <w:rPr>
          <w:rFonts w:ascii="Arial" w:hAnsi="Arial" w:cs="Arial"/>
          <w:color w:val="010000"/>
          <w:sz w:val="20"/>
        </w:rPr>
        <w:t xml:space="preserve"> on the transfer of investment capital of the Corporation in other enterprises as follows:</w:t>
      </w:r>
    </w:p>
    <w:p w14:paraId="00000003" w14:textId="77777777" w:rsidR="00C42D6E" w:rsidRPr="000F7169" w:rsidRDefault="005259FE" w:rsidP="006C595C">
      <w:pPr>
        <w:pBdr>
          <w:top w:val="nil"/>
          <w:left w:val="nil"/>
          <w:bottom w:val="nil"/>
          <w:right w:val="nil"/>
          <w:between w:val="nil"/>
        </w:pBdr>
        <w:spacing w:after="120" w:line="360" w:lineRule="auto"/>
        <w:rPr>
          <w:rFonts w:ascii="Arial" w:eastAsia="Arial" w:hAnsi="Arial" w:cs="Arial"/>
          <w:color w:val="010000"/>
          <w:sz w:val="20"/>
          <w:szCs w:val="20"/>
        </w:rPr>
      </w:pPr>
      <w:r w:rsidRPr="000F7169">
        <w:rPr>
          <w:rFonts w:ascii="Arial" w:hAnsi="Arial" w:cs="Arial"/>
          <w:color w:val="010000"/>
          <w:sz w:val="20"/>
        </w:rPr>
        <w:t>‎‎Article 1. Agree on the policy of transferring all investment capital of the Corporation in a number of companies with the following main contents:</w:t>
      </w:r>
    </w:p>
    <w:p w14:paraId="00000004" w14:textId="77777777" w:rsidR="00C42D6E" w:rsidRPr="000F7169" w:rsidRDefault="005259FE" w:rsidP="006C595C">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7169">
        <w:rPr>
          <w:rFonts w:ascii="Arial" w:hAnsi="Arial" w:cs="Arial"/>
          <w:color w:val="010000"/>
          <w:sz w:val="20"/>
        </w:rPr>
        <w:t xml:space="preserve">Transfer all investment capital of </w:t>
      </w:r>
      <w:proofErr w:type="spellStart"/>
      <w:r w:rsidRPr="000F7169">
        <w:rPr>
          <w:rFonts w:ascii="Arial" w:hAnsi="Arial" w:cs="Arial"/>
          <w:color w:val="010000"/>
          <w:sz w:val="20"/>
        </w:rPr>
        <w:t>SongHong</w:t>
      </w:r>
      <w:proofErr w:type="spellEnd"/>
      <w:r w:rsidRPr="000F7169">
        <w:rPr>
          <w:rFonts w:ascii="Arial" w:hAnsi="Arial" w:cs="Arial"/>
          <w:color w:val="010000"/>
          <w:sz w:val="20"/>
        </w:rPr>
        <w:t xml:space="preserve"> Corporation in the following companies: </w:t>
      </w:r>
    </w:p>
    <w:p w14:paraId="00000005" w14:textId="77777777" w:rsidR="00C42D6E" w:rsidRPr="000F7169" w:rsidRDefault="005259FE" w:rsidP="006C595C">
      <w:pPr>
        <w:numPr>
          <w:ilvl w:val="1"/>
          <w:numId w:val="1"/>
        </w:numPr>
        <w:pBdr>
          <w:top w:val="nil"/>
          <w:left w:val="nil"/>
          <w:bottom w:val="nil"/>
          <w:right w:val="nil"/>
          <w:between w:val="nil"/>
        </w:pBdr>
        <w:tabs>
          <w:tab w:val="left" w:pos="426"/>
          <w:tab w:val="left" w:pos="1253"/>
        </w:tabs>
        <w:spacing w:after="120" w:line="360" w:lineRule="auto"/>
        <w:rPr>
          <w:rFonts w:ascii="Arial" w:eastAsia="Arial" w:hAnsi="Arial" w:cs="Arial"/>
          <w:color w:val="010000"/>
          <w:sz w:val="20"/>
          <w:szCs w:val="20"/>
        </w:rPr>
      </w:pPr>
      <w:r w:rsidRPr="000F7169">
        <w:rPr>
          <w:rFonts w:ascii="Arial" w:hAnsi="Arial" w:cs="Arial"/>
          <w:color w:val="010000"/>
          <w:sz w:val="20"/>
        </w:rPr>
        <w:t>Song Hong Central Viet Nam Joint Stock Company:</w:t>
      </w:r>
    </w:p>
    <w:p w14:paraId="00000006" w14:textId="77777777" w:rsidR="00C42D6E" w:rsidRPr="000F7169" w:rsidRDefault="005259FE" w:rsidP="006C595C">
      <w:pPr>
        <w:pBdr>
          <w:top w:val="nil"/>
          <w:left w:val="nil"/>
          <w:bottom w:val="nil"/>
          <w:right w:val="nil"/>
          <w:between w:val="nil"/>
        </w:pBdr>
        <w:tabs>
          <w:tab w:val="left" w:pos="426"/>
          <w:tab w:val="left" w:pos="9203"/>
        </w:tabs>
        <w:spacing w:after="120" w:line="360" w:lineRule="auto"/>
        <w:rPr>
          <w:rFonts w:ascii="Arial" w:eastAsia="Arial" w:hAnsi="Arial" w:cs="Arial"/>
          <w:color w:val="010000"/>
          <w:sz w:val="20"/>
          <w:szCs w:val="20"/>
        </w:rPr>
      </w:pPr>
      <w:r w:rsidRPr="000F7169">
        <w:rPr>
          <w:rFonts w:ascii="Arial" w:hAnsi="Arial" w:cs="Arial"/>
          <w:color w:val="010000"/>
          <w:sz w:val="20"/>
        </w:rPr>
        <w:t>Number of transferred shares: 710,000 shares (accounting for 35.5% of the Company's charter capital).</w:t>
      </w:r>
    </w:p>
    <w:p w14:paraId="00000007" w14:textId="77777777" w:rsidR="00C42D6E" w:rsidRPr="000F7169" w:rsidRDefault="005259FE" w:rsidP="006C595C">
      <w:pPr>
        <w:numPr>
          <w:ilvl w:val="1"/>
          <w:numId w:val="1"/>
        </w:numPr>
        <w:pBdr>
          <w:top w:val="nil"/>
          <w:left w:val="nil"/>
          <w:bottom w:val="nil"/>
          <w:right w:val="nil"/>
          <w:between w:val="nil"/>
        </w:pBdr>
        <w:tabs>
          <w:tab w:val="left" w:pos="426"/>
          <w:tab w:val="left" w:pos="1273"/>
        </w:tabs>
        <w:spacing w:after="120" w:line="360" w:lineRule="auto"/>
        <w:rPr>
          <w:rFonts w:ascii="Arial" w:eastAsia="Arial" w:hAnsi="Arial" w:cs="Arial"/>
          <w:color w:val="010000"/>
          <w:sz w:val="20"/>
          <w:szCs w:val="20"/>
        </w:rPr>
      </w:pPr>
      <w:bookmarkStart w:id="1" w:name="_heading=h.gjdgxs"/>
      <w:bookmarkEnd w:id="1"/>
      <w:r w:rsidRPr="000F7169">
        <w:rPr>
          <w:rFonts w:ascii="Arial" w:hAnsi="Arial" w:cs="Arial"/>
          <w:color w:val="010000"/>
          <w:sz w:val="20"/>
        </w:rPr>
        <w:t>Song Hong Land Investment Joint Stock Company:</w:t>
      </w:r>
    </w:p>
    <w:p w14:paraId="00000008" w14:textId="77777777" w:rsidR="00C42D6E" w:rsidRPr="000F7169" w:rsidRDefault="005259FE" w:rsidP="006C595C">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7169">
        <w:rPr>
          <w:rFonts w:ascii="Arial" w:hAnsi="Arial" w:cs="Arial"/>
          <w:color w:val="010000"/>
          <w:sz w:val="20"/>
        </w:rPr>
        <w:t>Number of transferred shares: 156,309 shares (accounting for 1.56% of the Company's charter capital).</w:t>
      </w:r>
    </w:p>
    <w:p w14:paraId="00000009" w14:textId="77777777" w:rsidR="00C42D6E" w:rsidRPr="000F7169" w:rsidRDefault="005259FE" w:rsidP="006C595C">
      <w:pPr>
        <w:numPr>
          <w:ilvl w:val="1"/>
          <w:numId w:val="1"/>
        </w:numPr>
        <w:pBdr>
          <w:top w:val="nil"/>
          <w:left w:val="nil"/>
          <w:bottom w:val="nil"/>
          <w:right w:val="nil"/>
          <w:between w:val="nil"/>
        </w:pBdr>
        <w:tabs>
          <w:tab w:val="left" w:pos="426"/>
          <w:tab w:val="left" w:pos="1291"/>
        </w:tabs>
        <w:spacing w:after="120" w:line="360" w:lineRule="auto"/>
        <w:rPr>
          <w:rFonts w:ascii="Arial" w:eastAsia="Arial" w:hAnsi="Arial" w:cs="Arial"/>
          <w:color w:val="010000"/>
          <w:sz w:val="20"/>
          <w:szCs w:val="20"/>
        </w:rPr>
      </w:pPr>
      <w:r w:rsidRPr="000F7169">
        <w:rPr>
          <w:rFonts w:ascii="Arial" w:hAnsi="Arial" w:cs="Arial"/>
          <w:color w:val="010000"/>
          <w:sz w:val="20"/>
        </w:rPr>
        <w:t>Thao Nguyen Investment And Technology Joint Stock Company (formerly Song Hong Communication Technology Joint Stock Company):</w:t>
      </w:r>
    </w:p>
    <w:p w14:paraId="0000000A" w14:textId="77777777" w:rsidR="00C42D6E" w:rsidRPr="000F7169" w:rsidRDefault="005259FE" w:rsidP="006C595C">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7169">
        <w:rPr>
          <w:rFonts w:ascii="Arial" w:hAnsi="Arial" w:cs="Arial"/>
          <w:color w:val="010000"/>
          <w:sz w:val="20"/>
        </w:rPr>
        <w:t>Number of transferred shares: 50,000 shares (accounting for 1.67% of the Company's charter capital).</w:t>
      </w:r>
    </w:p>
    <w:p w14:paraId="0000000B" w14:textId="77777777" w:rsidR="00C42D6E" w:rsidRPr="000F7169" w:rsidRDefault="005259FE" w:rsidP="006C595C">
      <w:pPr>
        <w:numPr>
          <w:ilvl w:val="0"/>
          <w:numId w:val="1"/>
        </w:numPr>
        <w:pBdr>
          <w:top w:val="nil"/>
          <w:left w:val="nil"/>
          <w:bottom w:val="nil"/>
          <w:right w:val="nil"/>
          <w:between w:val="nil"/>
        </w:pBdr>
        <w:tabs>
          <w:tab w:val="left" w:pos="426"/>
          <w:tab w:val="left" w:pos="1093"/>
        </w:tabs>
        <w:spacing w:after="120" w:line="360" w:lineRule="auto"/>
        <w:rPr>
          <w:rFonts w:ascii="Arial" w:eastAsia="Arial" w:hAnsi="Arial" w:cs="Arial"/>
          <w:color w:val="010000"/>
          <w:sz w:val="20"/>
          <w:szCs w:val="20"/>
        </w:rPr>
      </w:pPr>
      <w:r w:rsidRPr="000F7169">
        <w:rPr>
          <w:rFonts w:ascii="Arial" w:hAnsi="Arial" w:cs="Arial"/>
          <w:color w:val="010000"/>
          <w:sz w:val="20"/>
        </w:rPr>
        <w:t>Form of transfer: Put-through transaction.</w:t>
      </w:r>
    </w:p>
    <w:p w14:paraId="0000000C" w14:textId="77777777" w:rsidR="00C42D6E" w:rsidRPr="000F7169" w:rsidRDefault="005259FE" w:rsidP="006C595C">
      <w:pPr>
        <w:numPr>
          <w:ilvl w:val="0"/>
          <w:numId w:val="1"/>
        </w:numPr>
        <w:pBdr>
          <w:top w:val="nil"/>
          <w:left w:val="nil"/>
          <w:bottom w:val="nil"/>
          <w:right w:val="nil"/>
          <w:between w:val="nil"/>
        </w:pBdr>
        <w:tabs>
          <w:tab w:val="left" w:pos="426"/>
          <w:tab w:val="left" w:pos="1093"/>
        </w:tabs>
        <w:spacing w:after="120" w:line="360" w:lineRule="auto"/>
        <w:rPr>
          <w:rFonts w:ascii="Arial" w:eastAsia="Arial" w:hAnsi="Arial" w:cs="Arial"/>
          <w:color w:val="010000"/>
          <w:sz w:val="20"/>
          <w:szCs w:val="20"/>
        </w:rPr>
      </w:pPr>
      <w:r w:rsidRPr="000F7169">
        <w:rPr>
          <w:rFonts w:ascii="Arial" w:hAnsi="Arial" w:cs="Arial"/>
          <w:color w:val="010000"/>
          <w:sz w:val="20"/>
        </w:rPr>
        <w:t>Transfer price: According to the agreement, but not lower than the value recorded in the Corporation's accounting books (after offsetting the provisions for capital investment losses according to regulations).</w:t>
      </w:r>
    </w:p>
    <w:p w14:paraId="0000000D" w14:textId="77777777" w:rsidR="00C42D6E" w:rsidRPr="000F7169" w:rsidRDefault="005259FE" w:rsidP="006C595C">
      <w:pPr>
        <w:numPr>
          <w:ilvl w:val="0"/>
          <w:numId w:val="1"/>
        </w:numPr>
        <w:pBdr>
          <w:top w:val="nil"/>
          <w:left w:val="nil"/>
          <w:bottom w:val="nil"/>
          <w:right w:val="nil"/>
          <w:between w:val="nil"/>
        </w:pBdr>
        <w:tabs>
          <w:tab w:val="left" w:pos="426"/>
          <w:tab w:val="left" w:pos="1096"/>
        </w:tabs>
        <w:spacing w:after="120" w:line="360" w:lineRule="auto"/>
        <w:rPr>
          <w:rFonts w:ascii="Arial" w:eastAsia="Arial" w:hAnsi="Arial" w:cs="Arial"/>
          <w:color w:val="010000"/>
          <w:sz w:val="20"/>
          <w:szCs w:val="20"/>
        </w:rPr>
      </w:pPr>
      <w:r w:rsidRPr="000F7169">
        <w:rPr>
          <w:rFonts w:ascii="Arial" w:hAnsi="Arial" w:cs="Arial"/>
          <w:color w:val="010000"/>
          <w:sz w:val="20"/>
        </w:rPr>
        <w:t>Implementation time: From January 2024 to February 2024.</w:t>
      </w:r>
    </w:p>
    <w:p w14:paraId="0000000E" w14:textId="77777777" w:rsidR="00C42D6E" w:rsidRPr="000F7169" w:rsidRDefault="005259FE" w:rsidP="006C595C">
      <w:pPr>
        <w:numPr>
          <w:ilvl w:val="0"/>
          <w:numId w:val="1"/>
        </w:numPr>
        <w:pBdr>
          <w:top w:val="nil"/>
          <w:left w:val="nil"/>
          <w:bottom w:val="nil"/>
          <w:right w:val="nil"/>
          <w:between w:val="nil"/>
        </w:pBdr>
        <w:tabs>
          <w:tab w:val="left" w:pos="426"/>
          <w:tab w:val="left" w:pos="1104"/>
        </w:tabs>
        <w:spacing w:after="120" w:line="360" w:lineRule="auto"/>
        <w:rPr>
          <w:rFonts w:ascii="Arial" w:eastAsia="Arial" w:hAnsi="Arial" w:cs="Arial"/>
          <w:color w:val="010000"/>
          <w:sz w:val="20"/>
          <w:szCs w:val="20"/>
        </w:rPr>
      </w:pPr>
      <w:r w:rsidRPr="000F7169">
        <w:rPr>
          <w:rFonts w:ascii="Arial" w:hAnsi="Arial" w:cs="Arial"/>
          <w:color w:val="010000"/>
          <w:sz w:val="20"/>
        </w:rPr>
        <w:t xml:space="preserve">Transfer purpose: Restructuring investments in other businesses; Supplement capital to pay </w:t>
      </w:r>
      <w:proofErr w:type="gramStart"/>
      <w:r w:rsidRPr="000F7169">
        <w:rPr>
          <w:rFonts w:ascii="Arial" w:hAnsi="Arial" w:cs="Arial"/>
          <w:color w:val="010000"/>
          <w:sz w:val="20"/>
        </w:rPr>
        <w:t>necessary</w:t>
      </w:r>
      <w:proofErr w:type="gramEnd"/>
      <w:r w:rsidRPr="000F7169">
        <w:rPr>
          <w:rFonts w:ascii="Arial" w:hAnsi="Arial" w:cs="Arial"/>
          <w:color w:val="010000"/>
          <w:sz w:val="20"/>
        </w:rPr>
        <w:t xml:space="preserve"> and urgent debts of the Corporation.</w:t>
      </w:r>
    </w:p>
    <w:p w14:paraId="0000000F" w14:textId="77777777" w:rsidR="00C42D6E" w:rsidRPr="000F7169" w:rsidRDefault="005259FE" w:rsidP="006C595C">
      <w:pPr>
        <w:pBdr>
          <w:top w:val="nil"/>
          <w:left w:val="nil"/>
          <w:bottom w:val="nil"/>
          <w:right w:val="nil"/>
          <w:between w:val="nil"/>
        </w:pBdr>
        <w:spacing w:after="120" w:line="360" w:lineRule="auto"/>
        <w:rPr>
          <w:rFonts w:ascii="Arial" w:eastAsia="Arial" w:hAnsi="Arial" w:cs="Arial"/>
          <w:color w:val="010000"/>
          <w:sz w:val="20"/>
          <w:szCs w:val="20"/>
        </w:rPr>
      </w:pPr>
      <w:r w:rsidRPr="000F7169">
        <w:rPr>
          <w:rFonts w:ascii="Arial" w:hAnsi="Arial" w:cs="Arial"/>
          <w:color w:val="010000"/>
          <w:sz w:val="20"/>
        </w:rPr>
        <w:t>‎‎Article 2. Assign and authorize the General Manager of the Corporation to direct and organize the implementation of the above content and related tasks; Ensuring timely, effective implementation, correct order and procedures, and compliance with current regulations of law and the Corporation.</w:t>
      </w:r>
    </w:p>
    <w:p w14:paraId="00000010" w14:textId="4B7BC26B" w:rsidR="00C42D6E" w:rsidRPr="000F7169" w:rsidRDefault="005259FE" w:rsidP="006C595C">
      <w:pPr>
        <w:pBdr>
          <w:top w:val="nil"/>
          <w:left w:val="nil"/>
          <w:bottom w:val="nil"/>
          <w:right w:val="nil"/>
          <w:between w:val="nil"/>
        </w:pBdr>
        <w:spacing w:after="120" w:line="360" w:lineRule="auto"/>
        <w:rPr>
          <w:rFonts w:ascii="Arial" w:eastAsia="Arial" w:hAnsi="Arial" w:cs="Arial"/>
          <w:color w:val="010000"/>
          <w:sz w:val="20"/>
          <w:szCs w:val="20"/>
        </w:rPr>
      </w:pPr>
      <w:r w:rsidRPr="000F7169">
        <w:rPr>
          <w:rFonts w:ascii="Arial" w:hAnsi="Arial" w:cs="Arial"/>
          <w:color w:val="010000"/>
          <w:sz w:val="20"/>
        </w:rPr>
        <w:t>‎‎Article 3. This Resolution takes effect from the date of its signing.</w:t>
      </w:r>
      <w:r w:rsidR="006C595C" w:rsidRPr="000F7169">
        <w:rPr>
          <w:rFonts w:ascii="Arial" w:hAnsi="Arial" w:cs="Arial"/>
          <w:color w:val="010000"/>
          <w:sz w:val="20"/>
        </w:rPr>
        <w:t xml:space="preserve"> </w:t>
      </w:r>
      <w:r w:rsidRPr="000F7169">
        <w:rPr>
          <w:rFonts w:ascii="Arial" w:hAnsi="Arial" w:cs="Arial"/>
          <w:color w:val="010000"/>
          <w:sz w:val="20"/>
        </w:rPr>
        <w:t>Members of the Board of Directors, the Supervisory Board, the General Manager, Heads of Departments of the Corporation, the Capital Management Representative of the Corporation at related Companies based on the Resolution for implementation.</w:t>
      </w:r>
    </w:p>
    <w:sectPr w:rsidR="00C42D6E" w:rsidRPr="000F7169" w:rsidSect="006C59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A71E6"/>
    <w:multiLevelType w:val="multilevel"/>
    <w:tmpl w:val="CB5059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6E"/>
    <w:rsid w:val="000F7169"/>
    <w:rsid w:val="001141D7"/>
    <w:rsid w:val="005259FE"/>
    <w:rsid w:val="006C595C"/>
    <w:rsid w:val="00C42D6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76"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298" w:lineRule="auto"/>
      <w:ind w:left="260" w:firstLine="13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N7Oyh5ainZNzoK6POh+5orxrQ==">CgMxLjAyCGguZ2pkZ3hzOAByITExcHpnUWJfS2pOM1QtanQ5RGNiOXoxWl9OdWJMdDFXeg==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2024-02-01T03:57:00Z</dcterms:created>
  <dcterms:modified xsi:type="dcterms:W3CDTF">2024-02-01T03:57:00Z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acfe47e752311df8d224a7e42a06a4cb54fa3c87854d47f264a70c54b5b8f0de</vt:lpwstr>
  </property>
</Properties>
</file>