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2AD0" w14:textId="77777777" w:rsidR="0060623C" w:rsidRPr="004C50CE" w:rsidRDefault="003F2E5C" w:rsidP="00781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VDT: Annual Corporate Governance Report 2023</w:t>
      </w:r>
    </w:p>
    <w:p w14:paraId="3EA7483A" w14:textId="414F4789" w:rsidR="0060623C" w:rsidRPr="004C50CE" w:rsidRDefault="003F2E5C" w:rsidP="00781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Tay</w:t>
      </w:r>
      <w:proofErr w:type="spellEnd"/>
      <w:r>
        <w:rPr>
          <w:rFonts w:ascii="Arial" w:hAnsi="Arial"/>
          <w:color w:val="010000"/>
          <w:sz w:val="20"/>
        </w:rPr>
        <w:t xml:space="preserve"> Steel Wire Netting JSC announced Report No. 02/2024/BC-VDT on the corporate governance in 2023 as follows:</w:t>
      </w:r>
    </w:p>
    <w:p w14:paraId="328AAAAB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Tay</w:t>
      </w:r>
      <w:proofErr w:type="spellEnd"/>
      <w:r>
        <w:rPr>
          <w:rFonts w:ascii="Arial" w:hAnsi="Arial"/>
          <w:color w:val="010000"/>
          <w:sz w:val="20"/>
        </w:rPr>
        <w:t xml:space="preserve"> Steel Wire Netting JSC</w:t>
      </w:r>
    </w:p>
    <w:p w14:paraId="0CC2348C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No. 177 Au Co Street,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Ward, Tan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District, Ho Chi Minh City, Vietnam</w:t>
      </w:r>
    </w:p>
    <w:p w14:paraId="11668AD8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22134252-22134253-39746171-38653581 </w:t>
      </w:r>
      <w:r>
        <w:rPr>
          <w:rFonts w:ascii="Arial" w:hAnsi="Arial"/>
          <w:color w:val="010000"/>
          <w:sz w:val="20"/>
        </w:rPr>
        <w:tab/>
        <w:t>Fax: 08 39746171</w:t>
      </w:r>
    </w:p>
    <w:p w14:paraId="25E94BD9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www.luoithepbinhtay.com.vn</w:t>
        </w:r>
      </w:hyperlink>
    </w:p>
    <w:p w14:paraId="020F9356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19,654,400,000</w:t>
      </w:r>
    </w:p>
    <w:p w14:paraId="2A93F301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VDT</w:t>
      </w:r>
    </w:p>
    <w:p w14:paraId="08DE4004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514A8AFB" w14:textId="275511C8" w:rsidR="0060623C" w:rsidRPr="004C50CE" w:rsidRDefault="003F2E5C" w:rsidP="00781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781C67">
        <w:rPr>
          <w:rFonts w:ascii="Arial" w:hAnsi="Arial"/>
          <w:color w:val="010000"/>
          <w:sz w:val="20"/>
        </w:rPr>
        <w:t>General Meeting, Board of Directors, Supervisory Board and Managing Director</w:t>
      </w:r>
    </w:p>
    <w:p w14:paraId="33C29B7F" w14:textId="77777777" w:rsidR="0060623C" w:rsidRPr="004C50CE" w:rsidRDefault="003F2E5C" w:rsidP="00781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Implemented</w:t>
      </w:r>
    </w:p>
    <w:p w14:paraId="4BD42895" w14:textId="66730BCB" w:rsidR="0060623C" w:rsidRPr="004C50CE" w:rsidRDefault="003F2E5C" w:rsidP="00781C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4"/>
          <w:tab w:val="left" w:pos="77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81C6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: </w:t>
      </w:r>
    </w:p>
    <w:p w14:paraId="2525C6FB" w14:textId="61B30C64" w:rsidR="0060623C" w:rsidRPr="004C50CE" w:rsidRDefault="003F2E5C" w:rsidP="00781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781C6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781C67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"/>
        <w:gridCol w:w="3259"/>
        <w:gridCol w:w="1418"/>
        <w:gridCol w:w="3777"/>
      </w:tblGrid>
      <w:tr w:rsidR="0060623C" w:rsidRPr="004C50CE" w14:paraId="4C24DF5C" w14:textId="77777777" w:rsidTr="004C50CE">
        <w:trPr>
          <w:cantSplit/>
        </w:trPr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3F6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069C6" w14:textId="763349ED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781C67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6A77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39EED" w14:textId="28A7F140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81C6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0623C" w:rsidRPr="004C50CE" w14:paraId="013E1979" w14:textId="77777777" w:rsidTr="004C50CE">
        <w:trPr>
          <w:cantSplit/>
        </w:trPr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9B09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8D82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2022 No. 21/NQ-DHCD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9A363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bookmarkStart w:id="0" w:name="_MON_1768226734"/>
        <w:bookmarkEnd w:id="0"/>
        <w:tc>
          <w:tcPr>
            <w:tcW w:w="2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E0EE5" w14:textId="781F36DD" w:rsidR="0060623C" w:rsidRPr="004C50CE" w:rsidRDefault="006600F5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object w:dxaOrig="1541" w:dyaOrig="1000" w14:anchorId="6088B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768317920" r:id="rId8">
                  <o:FieldCodes>\s</o:FieldCodes>
                </o:OLEObject>
              </w:object>
            </w:r>
          </w:p>
        </w:tc>
      </w:tr>
    </w:tbl>
    <w:p w14:paraId="4663E5DD" w14:textId="0C21C6EF" w:rsidR="0060623C" w:rsidRPr="004C50CE" w:rsidRDefault="003F2E5C" w:rsidP="004C50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01761DE4" w14:textId="77777777" w:rsidR="0060623C" w:rsidRPr="004C50CE" w:rsidRDefault="003F2E5C" w:rsidP="004C50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8"/>
        <w:gridCol w:w="2210"/>
        <w:gridCol w:w="2587"/>
        <w:gridCol w:w="1699"/>
        <w:gridCol w:w="1795"/>
      </w:tblGrid>
      <w:tr w:rsidR="0060623C" w:rsidRPr="004C50CE" w14:paraId="3B25D925" w14:textId="77777777" w:rsidTr="004C50CE">
        <w:trPr>
          <w:cantSplit/>
        </w:trPr>
        <w:tc>
          <w:tcPr>
            <w:tcW w:w="40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5612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2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D379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3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B5F96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93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EBBC2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60623C" w:rsidRPr="004C50CE" w14:paraId="2EB8E892" w14:textId="77777777" w:rsidTr="004C50CE">
        <w:trPr>
          <w:cantSplit/>
        </w:trPr>
        <w:tc>
          <w:tcPr>
            <w:tcW w:w="40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27D9" w14:textId="77777777" w:rsidR="0060623C" w:rsidRPr="004C50CE" w:rsidRDefault="0060623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D8DA4" w14:textId="77777777" w:rsidR="0060623C" w:rsidRPr="004C50CE" w:rsidRDefault="0060623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FB64D" w14:textId="77777777" w:rsidR="0060623C" w:rsidRPr="004C50CE" w:rsidRDefault="0060623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18D34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2C693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0623C" w:rsidRPr="004C50CE" w14:paraId="78DD5981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EE37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9D99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Xuan Anh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D9C5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3CD09" w14:textId="77777777" w:rsidR="0060623C" w:rsidRPr="004C50CE" w:rsidRDefault="0060623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DAFC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</w:tr>
      <w:tr w:rsidR="0060623C" w:rsidRPr="004C50CE" w14:paraId="47BA8B9B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F9F80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6D23B" w14:textId="43E6728C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 Minh </w:t>
            </w:r>
            <w:proofErr w:type="spellStart"/>
            <w:r w:rsidR="005C0719">
              <w:rPr>
                <w:rFonts w:ascii="Arial" w:hAnsi="Arial"/>
                <w:color w:val="010000"/>
                <w:sz w:val="20"/>
              </w:rPr>
              <w:t>H</w:t>
            </w:r>
            <w:r>
              <w:rPr>
                <w:rFonts w:ascii="Arial" w:hAnsi="Arial"/>
                <w:color w:val="010000"/>
                <w:sz w:val="20"/>
              </w:rPr>
              <w:t>uan</w:t>
            </w:r>
            <w:proofErr w:type="spellEnd"/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C0E61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07D45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2BEB2" w14:textId="77777777" w:rsidR="0060623C" w:rsidRPr="004C50CE" w:rsidRDefault="0060623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0623C" w:rsidRPr="004C50CE" w14:paraId="453F8EFD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A8416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247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5FFB0" w14:textId="7B7D8403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Directors/</w:t>
            </w:r>
            <w:r w:rsidR="00781C6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ED296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1A18E" w14:textId="77777777" w:rsidR="0060623C" w:rsidRPr="004C50CE" w:rsidRDefault="0060623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0623C" w:rsidRPr="004C50CE" w14:paraId="3FB350F1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D67E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04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833FB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Hong Luong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EF1F5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32A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5D543" w14:textId="77777777" w:rsidR="0060623C" w:rsidRPr="004C50CE" w:rsidRDefault="0060623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0623C" w:rsidRPr="004C50CE" w14:paraId="212A01FD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51314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9C4D3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Thi Tuyet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0B555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9602F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2022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BD0E8" w14:textId="77777777" w:rsidR="0060623C" w:rsidRPr="004C50CE" w:rsidRDefault="0060623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0623C" w:rsidRPr="004C50CE" w14:paraId="29C79E4D" w14:textId="77777777" w:rsidTr="004C50CE">
        <w:trPr>
          <w:cantSplit/>
        </w:trPr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B191B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F049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Kim Chinh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0D2C7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2EAAB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17BD0" w14:textId="77777777" w:rsidR="0060623C" w:rsidRPr="004C50CE" w:rsidRDefault="0060623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10AB3D" w14:textId="77777777" w:rsidR="0060623C" w:rsidRPr="004C50CE" w:rsidRDefault="003F2E5C" w:rsidP="004C50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7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p w14:paraId="1C863700" w14:textId="77777777" w:rsidR="0060623C" w:rsidRPr="004C50CE" w:rsidRDefault="003F2E5C" w:rsidP="004C50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"/>
        <w:gridCol w:w="2186"/>
        <w:gridCol w:w="1558"/>
        <w:gridCol w:w="4650"/>
      </w:tblGrid>
      <w:tr w:rsidR="004C50CE" w:rsidRPr="004C50CE" w14:paraId="529C52EB" w14:textId="77777777" w:rsidTr="00781C67">
        <w:trPr>
          <w:cantSplit/>
        </w:trPr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8CDCB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BD9EF" w14:textId="250D3A93" w:rsidR="004C50CE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482F7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0E8BC" w14:textId="41F86CE3" w:rsidR="004C50CE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C50CE" w:rsidRPr="004C50CE" w14:paraId="66277FC1" w14:textId="77777777" w:rsidTr="00781C67">
        <w:trPr>
          <w:cantSplit/>
        </w:trPr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5D298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CE72A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18/NQ-HDQT-VDT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CF6D8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2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6AC56" w14:textId="54208A6B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Contents, Agenda of the </w:t>
            </w:r>
            <w:r w:rsidR="00781C6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4C50CE" w:rsidRPr="004C50CE" w14:paraId="26FEE5FC" w14:textId="77777777" w:rsidTr="00781C67">
        <w:trPr>
          <w:cantSplit/>
        </w:trPr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CFEC2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9F6A2" w14:textId="7FB70652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33/NQ-HDQT-VDT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79360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2022</w:t>
            </w:r>
          </w:p>
        </w:tc>
        <w:tc>
          <w:tcPr>
            <w:tcW w:w="2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D7A48" w14:textId="77777777" w:rsidR="004C50CE" w:rsidRPr="004C50CE" w:rsidRDefault="004C50CE" w:rsidP="004C5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preliminary report on implementing tasks in Q2/2023, the production and business plan for Q3/2023. </w:t>
            </w:r>
          </w:p>
          <w:p w14:paraId="0888DCAD" w14:textId="77777777" w:rsidR="004C50CE" w:rsidRPr="004C50CE" w:rsidRDefault="004C50CE" w:rsidP="004C5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reducing the profit plan in 2023</w:t>
            </w:r>
          </w:p>
          <w:p w14:paraId="05868C07" w14:textId="77777777" w:rsidR="004C50CE" w:rsidRPr="004C50CE" w:rsidRDefault="004C50CE" w:rsidP="004C5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Proposal on renewing the wastewater and exhaust treatment system and applying for the environmental permit.</w:t>
            </w:r>
          </w:p>
          <w:p w14:paraId="15B69E58" w14:textId="77777777" w:rsidR="004C50CE" w:rsidRPr="004C50CE" w:rsidRDefault="004C50CE" w:rsidP="004C5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Trach factory rental.</w:t>
            </w:r>
          </w:p>
          <w:p w14:paraId="19E5597B" w14:textId="40FE0517" w:rsidR="004C50CE" w:rsidRPr="004C50CE" w:rsidRDefault="004C50CE" w:rsidP="004C5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purchase and sale of goods between the Company and </w:t>
            </w:r>
            <w:r w:rsidR="00781C67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of </w:t>
            </w:r>
            <w:r w:rsidR="00781C67">
              <w:rPr>
                <w:rFonts w:ascii="Arial" w:hAnsi="Arial"/>
                <w:color w:val="010000"/>
                <w:sz w:val="20"/>
              </w:rPr>
              <w:t>principal shareholder</w:t>
            </w:r>
            <w:r>
              <w:rPr>
                <w:rFonts w:ascii="Arial" w:hAnsi="Arial"/>
                <w:color w:val="010000"/>
                <w:sz w:val="20"/>
              </w:rPr>
              <w:t>s.</w:t>
            </w:r>
          </w:p>
        </w:tc>
      </w:tr>
      <w:tr w:rsidR="004C50CE" w:rsidRPr="004C50CE" w14:paraId="0FD1CF28" w14:textId="77777777" w:rsidTr="00781C67">
        <w:trPr>
          <w:cantSplit/>
        </w:trPr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9C639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89986" w14:textId="2B7A8448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41/NQ-HDQT-VDT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756E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18, 2023</w:t>
            </w:r>
          </w:p>
        </w:tc>
        <w:tc>
          <w:tcPr>
            <w:tcW w:w="2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3EF4C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in Q3/2023 and the first 9 months of 2023; the production and business plan for Q4/2023</w:t>
            </w:r>
          </w:p>
        </w:tc>
      </w:tr>
    </w:tbl>
    <w:p w14:paraId="7F04E7C7" w14:textId="77777777" w:rsidR="0060623C" w:rsidRPr="004C50CE" w:rsidRDefault="003F2E5C" w:rsidP="004C50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Decisions: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0"/>
        <w:gridCol w:w="2060"/>
        <w:gridCol w:w="1569"/>
        <w:gridCol w:w="4620"/>
      </w:tblGrid>
      <w:tr w:rsidR="004C50CE" w:rsidRPr="004C50CE" w14:paraId="735BB278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CAA9C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A237A" w14:textId="5F5F0E22" w:rsidR="004C50CE" w:rsidRPr="004C50CE" w:rsidRDefault="005C0719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FBC16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F7DC0" w14:textId="5CAE2590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81C6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C50CE" w:rsidRPr="004C50CE" w14:paraId="072F2C7E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A8F2C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33BEA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02/QD-HDQT-VDT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E4AEF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08, 2023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DA53E" w14:textId="64B4E193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</w:t>
            </w:r>
            <w:r w:rsidR="00781C67">
              <w:rPr>
                <w:rFonts w:ascii="Arial" w:hAnsi="Arial"/>
                <w:color w:val="010000"/>
                <w:sz w:val="20"/>
              </w:rPr>
              <w:t>n on establishing the Organizer</w:t>
            </w:r>
            <w:r>
              <w:rPr>
                <w:rFonts w:ascii="Arial" w:hAnsi="Arial"/>
                <w:color w:val="010000"/>
                <w:sz w:val="20"/>
              </w:rPr>
              <w:t xml:space="preserve"> Committee of the Annual </w:t>
            </w:r>
            <w:r w:rsidR="00781C6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4C50CE" w:rsidRPr="004C50CE" w14:paraId="303CECCF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A8D6E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07C84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26/QD-HDQT-VDT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5BFB3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817A9" w14:textId="0BB6E6DB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the appointment of the position of the Company’s </w:t>
            </w:r>
            <w:r w:rsidR="00781C6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4C50CE" w:rsidRPr="004C50CE" w14:paraId="1E8B6A05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59006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31350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27/QD-HDQT-VDT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8DBCC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504FC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profit after tax distribution in 2022:</w:t>
            </w:r>
          </w:p>
        </w:tc>
      </w:tr>
      <w:tr w:rsidR="004C50CE" w:rsidRPr="004C50CE" w14:paraId="5E64E828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EF584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DAF87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28/QD-HDQT-VDT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3C16F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08EAD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the labor and salary plan in 2023</w:t>
            </w:r>
          </w:p>
        </w:tc>
      </w:tr>
      <w:tr w:rsidR="004C50CE" w:rsidRPr="004C50CE" w14:paraId="32D268D0" w14:textId="77777777" w:rsidTr="004C50CE">
        <w:trPr>
          <w:cantSplit/>
        </w:trPr>
        <w:tc>
          <w:tcPr>
            <w:tcW w:w="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B2D1B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E5832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No. 29/QD-HDQT-VDT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A6BE0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25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95800" w14:textId="77777777" w:rsidR="004C50CE" w:rsidRPr="004C50CE" w:rsidRDefault="004C50CE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credit transactions at the Bank</w:t>
            </w:r>
          </w:p>
        </w:tc>
      </w:tr>
    </w:tbl>
    <w:p w14:paraId="4D0BB5E0" w14:textId="6CB5E697" w:rsidR="0060623C" w:rsidRPr="004C50CE" w:rsidRDefault="00781C67" w:rsidP="004C50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p w14:paraId="554D22B2" w14:textId="7B595E16" w:rsidR="0060623C" w:rsidRPr="004C50CE" w:rsidRDefault="004C50CE" w:rsidP="004C50CE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Supervisory Board: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905"/>
        <w:gridCol w:w="1254"/>
        <w:gridCol w:w="1705"/>
        <w:gridCol w:w="1526"/>
        <w:gridCol w:w="1975"/>
      </w:tblGrid>
      <w:tr w:rsidR="004C50CE" w:rsidRPr="004C50CE" w14:paraId="63487627" w14:textId="77777777" w:rsidTr="004C50CE">
        <w:trPr>
          <w:cantSplit/>
        </w:trPr>
        <w:tc>
          <w:tcPr>
            <w:tcW w:w="363" w:type="pct"/>
            <w:vMerge w:val="restart"/>
            <w:shd w:val="clear" w:color="auto" w:fill="auto"/>
            <w:vAlign w:val="center"/>
          </w:tcPr>
          <w:p w14:paraId="58BCA63D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5842464E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Supervisor 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018FF781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14:paraId="0B16C930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430E832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C50CE" w:rsidRPr="004C50CE" w14:paraId="55AE3C00" w14:textId="77777777" w:rsidTr="004C50CE">
        <w:trPr>
          <w:cantSplit/>
        </w:trPr>
        <w:tc>
          <w:tcPr>
            <w:tcW w:w="363" w:type="pct"/>
            <w:vMerge/>
            <w:shd w:val="clear" w:color="auto" w:fill="auto"/>
            <w:vAlign w:val="center"/>
          </w:tcPr>
          <w:p w14:paraId="6DE9B043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eastAsia="zh-CN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391BE6B0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E6DBA96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eastAsia="zh-CN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29C05BA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948683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AF9368A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eastAsia="zh-CN"/>
              </w:rPr>
            </w:pPr>
          </w:p>
        </w:tc>
      </w:tr>
      <w:tr w:rsidR="004C50CE" w:rsidRPr="004C50CE" w14:paraId="26928B08" w14:textId="77777777" w:rsidTr="004C50CE">
        <w:trPr>
          <w:cantSplit/>
        </w:trPr>
        <w:tc>
          <w:tcPr>
            <w:tcW w:w="363" w:type="pct"/>
            <w:shd w:val="clear" w:color="auto" w:fill="auto"/>
            <w:vAlign w:val="center"/>
          </w:tcPr>
          <w:p w14:paraId="1840AD1C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21D9D13" w14:textId="21BA825D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Huynh Thi Tuyet Tram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26CF05" w14:textId="15E1282D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8E0BAFA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71B93A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szCs w:val="10"/>
                <w:lang w:eastAsia="zh-CN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5DBA696" w14:textId="53AD9475" w:rsidR="004C50CE" w:rsidRPr="004C50CE" w:rsidRDefault="00781C67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C50C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4C50CE" w:rsidRPr="004C50CE" w14:paraId="5B87862A" w14:textId="77777777" w:rsidTr="004C50CE">
        <w:trPr>
          <w:cantSplit/>
        </w:trPr>
        <w:tc>
          <w:tcPr>
            <w:tcW w:w="363" w:type="pct"/>
            <w:shd w:val="clear" w:color="auto" w:fill="auto"/>
            <w:vAlign w:val="center"/>
          </w:tcPr>
          <w:p w14:paraId="5EEC70C5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FAF1E9E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Bui Thi Thu Nga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366033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D156555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8DD61CB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szCs w:val="10"/>
                <w:lang w:eastAsia="zh-CN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FFD8296" w14:textId="3E4B037C" w:rsidR="004C50CE" w:rsidRPr="004C50CE" w:rsidRDefault="00781C67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C50CE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4C50CE" w:rsidRPr="004C50CE" w14:paraId="5F5E2869" w14:textId="77777777" w:rsidTr="004C50CE">
        <w:trPr>
          <w:cantSplit/>
        </w:trPr>
        <w:tc>
          <w:tcPr>
            <w:tcW w:w="363" w:type="pct"/>
            <w:shd w:val="clear" w:color="auto" w:fill="auto"/>
            <w:vAlign w:val="center"/>
          </w:tcPr>
          <w:p w14:paraId="7932D2A5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DC7F888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Quach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B964528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EE801DE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59CA90C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szCs w:val="10"/>
                <w:lang w:eastAsia="zh-CN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60DED88" w14:textId="26692E61" w:rsidR="004C50CE" w:rsidRPr="004C50CE" w:rsidRDefault="00781C67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C50CE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4C50CE" w:rsidRPr="004C50CE" w14:paraId="44B19FAF" w14:textId="77777777" w:rsidTr="004C50CE">
        <w:trPr>
          <w:cantSplit/>
        </w:trPr>
        <w:tc>
          <w:tcPr>
            <w:tcW w:w="363" w:type="pct"/>
            <w:shd w:val="clear" w:color="auto" w:fill="auto"/>
            <w:vAlign w:val="center"/>
          </w:tcPr>
          <w:p w14:paraId="3A413237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F5FD236" w14:textId="1483C321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Thi Mai Phuong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104858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B432EF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04, 2018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512C1EE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BA6AFC2" w14:textId="77777777" w:rsidR="004C50CE" w:rsidRPr="004C50CE" w:rsidRDefault="004C50CE" w:rsidP="004C50CE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 College</w:t>
            </w:r>
          </w:p>
        </w:tc>
      </w:tr>
    </w:tbl>
    <w:p w14:paraId="02AFE73F" w14:textId="7118D19D" w:rsidR="0060623C" w:rsidRPr="004C50CE" w:rsidRDefault="003F2E5C" w:rsidP="004C50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8"/>
        <w:gridCol w:w="2077"/>
        <w:gridCol w:w="1799"/>
        <w:gridCol w:w="1558"/>
        <w:gridCol w:w="2787"/>
      </w:tblGrid>
      <w:tr w:rsidR="0060623C" w:rsidRPr="004C50CE" w14:paraId="2CAFE32E" w14:textId="77777777" w:rsidTr="00781C67">
        <w:trPr>
          <w:cantSplit/>
        </w:trPr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6FD15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7D405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D6F94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E373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9FB06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60623C" w:rsidRPr="004C50CE" w14:paraId="314C2789" w14:textId="77777777" w:rsidTr="00781C67">
        <w:trPr>
          <w:cantSplit/>
        </w:trPr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B38EB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38E14" w14:textId="124D9FF8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r w:rsidR="00781C6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E4EBC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06, 1973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685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1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3074E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2014</w:t>
            </w:r>
          </w:p>
        </w:tc>
      </w:tr>
    </w:tbl>
    <w:p w14:paraId="51957155" w14:textId="77777777" w:rsidR="0060623C" w:rsidRPr="004C50CE" w:rsidRDefault="003F2E5C" w:rsidP="004C50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V. 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5"/>
        <w:gridCol w:w="1654"/>
        <w:gridCol w:w="2973"/>
        <w:gridCol w:w="1907"/>
      </w:tblGrid>
      <w:tr w:rsidR="0060623C" w:rsidRPr="004C50CE" w14:paraId="62FBD93E" w14:textId="77777777" w:rsidTr="004C50CE">
        <w:trPr>
          <w:cantSplit/>
        </w:trPr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9BD6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48F27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D0E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F83AF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60623C" w:rsidRPr="004C50CE" w14:paraId="2DC0BD72" w14:textId="77777777" w:rsidTr="004C50CE">
        <w:trPr>
          <w:cantSplit/>
        </w:trPr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A0559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Phuong Dung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C21C4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1975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82E8C" w14:textId="2645A5AE" w:rsidR="0060623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EA29A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2010</w:t>
            </w:r>
          </w:p>
        </w:tc>
      </w:tr>
    </w:tbl>
    <w:p w14:paraId="56308D8A" w14:textId="77777777" w:rsidR="0060623C" w:rsidRPr="004C50CE" w:rsidRDefault="003F2E5C" w:rsidP="00781C6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Training on corporate governance:</w:t>
      </w:r>
    </w:p>
    <w:p w14:paraId="1FB2B9C8" w14:textId="65EB1109" w:rsidR="0060623C" w:rsidRPr="004C50CE" w:rsidRDefault="003F2E5C" w:rsidP="00781C6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</w:t>
      </w:r>
      <w:r w:rsidR="005C0719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of the public company and transactions between the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with the Company itself:</w:t>
      </w:r>
    </w:p>
    <w:p w14:paraId="268DEE8C" w14:textId="2E246BE8" w:rsidR="0060623C" w:rsidRPr="004C50CE" w:rsidRDefault="003F2E5C" w:rsidP="00781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</w:t>
      </w:r>
      <w:r w:rsidR="00781C67">
        <w:rPr>
          <w:rFonts w:ascii="Arial" w:hAnsi="Arial"/>
          <w:color w:val="010000"/>
          <w:sz w:val="20"/>
        </w:rPr>
        <w:t>or between the Company and 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2E052FE0" w14:textId="77777777" w:rsidR="0060623C" w:rsidRPr="004C50CE" w:rsidRDefault="003F2E5C" w:rsidP="00781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transactions with companies in the system of Viet Nam Steel Corporation (attached to Resolution No. 33/NQ-VDT dated July 17, 2023)</w:t>
      </w:r>
    </w:p>
    <w:tbl>
      <w:tblPr>
        <w:tblStyle w:val="a6"/>
        <w:tblW w:w="5237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2001"/>
        <w:gridCol w:w="1077"/>
        <w:gridCol w:w="542"/>
        <w:gridCol w:w="1478"/>
        <w:gridCol w:w="999"/>
        <w:gridCol w:w="1402"/>
        <w:gridCol w:w="1173"/>
        <w:gridCol w:w="442"/>
      </w:tblGrid>
      <w:tr w:rsidR="0060623C" w:rsidRPr="004C50CE" w14:paraId="40305F0E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A7500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7458F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46082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Corporation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721BD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60036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30C6E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0B89E" w14:textId="10DD7DD0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 Decision of </w:t>
            </w:r>
            <w:r w:rsidR="00781C6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or Board Resolution/Board Decision No.</w:t>
            </w: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76B60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F23E2" w14:textId="77777777" w:rsidR="0060623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3F2E5C" w:rsidRPr="004C50CE" w14:paraId="6A0D81F5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B80A4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2E447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VNSTEEL - VICASA JSC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4351" w14:textId="59ED770A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F7E39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A3E06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A6CFC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3BC50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33/NQ-VDT dated July 17, 2023</w:t>
            </w: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C2ED1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Selling iron and steel: </w:t>
            </w:r>
          </w:p>
          <w:p w14:paraId="2FECD507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Quantity: 30.12 tons</w:t>
            </w:r>
          </w:p>
          <w:p w14:paraId="2BB543DD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0.26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9325A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2E659663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F76FC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0BA22" w14:textId="6F622809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VNSTEEL - Thu Duc Steel JSC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598E" w14:textId="4900734A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5870E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B2890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FD52E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240B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A9CC2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Purchasing iron and steel:</w:t>
            </w:r>
          </w:p>
          <w:p w14:paraId="565C68E3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Quantity: 0.12 tons</w:t>
            </w:r>
          </w:p>
          <w:p w14:paraId="32309EF6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0.001 billion</w:t>
            </w:r>
          </w:p>
          <w:p w14:paraId="0E4F1CA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Selling iron and steel: </w:t>
            </w:r>
          </w:p>
          <w:p w14:paraId="0C0C2CD6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Quantity: 3.55 tons </w:t>
            </w:r>
          </w:p>
          <w:p w14:paraId="4A20B741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0.06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30437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029930FB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716BB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3334A" w14:textId="53F0F308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VNSTEEL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Be Steel Joint Stock Company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3922D" w14:textId="7299B2F0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B783B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02587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B1CA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D7510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0C91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Purchasing and selling iron and steel: </w:t>
            </w:r>
          </w:p>
          <w:p w14:paraId="704069B9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Quantity: 0.96 tons </w:t>
            </w:r>
          </w:p>
          <w:p w14:paraId="7224D8A4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0.02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7F4DB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64157912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8C23C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E5D46" w14:textId="1E39F135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Machanical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Engineering &amp; Metallurgy JSC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D1375" w14:textId="00B7B5BD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03EDB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818BF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A3246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78DE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CCFE1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Purchasing and selling iron and steel: </w:t>
            </w:r>
          </w:p>
          <w:p w14:paraId="5ACFE492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Quantity: 2.61 tons </w:t>
            </w:r>
          </w:p>
          <w:p w14:paraId="74809C36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0.05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5C865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13DF3F20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29217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B3B11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Vingal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–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Vnsteel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Industries Joint Stock Company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5FCA7" w14:textId="4B2E81B9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A67B7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9912D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33FF2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DD2A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95B38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Purchasing and selling iron and steel: </w:t>
            </w:r>
          </w:p>
          <w:p w14:paraId="683D2758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Quantity: 128.9 tons </w:t>
            </w:r>
          </w:p>
          <w:p w14:paraId="0D1B370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2.56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BF6FD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15D476DC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561B9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1B3E8" w14:textId="551DB114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Nippovina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Co., Ltd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FC50A" w14:textId="1D8A5976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6F0D8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24AA3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62395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F933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7ECED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Purchasing and selling iron and steel: </w:t>
            </w:r>
          </w:p>
          <w:p w14:paraId="66F8F9F1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Quantity: 29.4 tons</w:t>
            </w:r>
          </w:p>
          <w:p w14:paraId="78997514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0.62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D7B00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755F6917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090D2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72EC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 Nam Steel Corporation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5AF23" w14:textId="372F182C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C9EAA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FCE80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1F053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D623D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E9FF2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Purchasing iron and steel:</w:t>
            </w:r>
          </w:p>
          <w:p w14:paraId="522ABBF6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 Value: VND 0.05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9BD49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F2E5C" w:rsidRPr="004C50CE" w14:paraId="5A932FAC" w14:textId="77777777" w:rsidTr="00781C67">
        <w:trPr>
          <w:cantSplit/>
        </w:trPr>
        <w:tc>
          <w:tcPr>
            <w:tcW w:w="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F93CF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EA924" w14:textId="46D52E29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VNSTEEL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Hochiminh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 Metal Corporation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BD333" w14:textId="52F3E980" w:rsidR="003F2E5C" w:rsidRPr="004C50CE" w:rsidRDefault="00781C67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F2E5C">
              <w:rPr>
                <w:rFonts w:ascii="Arial" w:hAnsi="Arial"/>
                <w:color w:val="010000"/>
                <w:sz w:val="20"/>
              </w:rPr>
              <w:t xml:space="preserve"> persons of </w:t>
            </w:r>
            <w:r>
              <w:rPr>
                <w:rFonts w:ascii="Arial" w:hAnsi="Arial"/>
                <w:color w:val="010000"/>
                <w:sz w:val="20"/>
              </w:rPr>
              <w:t>principal shareholder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20E97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68022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E8AEA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428DF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0C224" w14:textId="77777777" w:rsidR="003F2E5C" w:rsidRPr="004C50CE" w:rsidRDefault="003F2E5C" w:rsidP="004C5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Purchasing and selling iron and steel: Quantity: 393.1 tons + Value: VND 5.89 billion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48B5C" w14:textId="77777777" w:rsidR="003F2E5C" w:rsidRPr="004C50CE" w:rsidRDefault="003F2E5C" w:rsidP="004C50C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98BEDC" w14:textId="0EBFCF94" w:rsidR="0060623C" w:rsidRPr="004C50CE" w:rsidRDefault="003F2E5C" w:rsidP="00781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0DDEF4E9" w14:textId="77777777" w:rsidR="0060623C" w:rsidRPr="004C50CE" w:rsidRDefault="003F2E5C" w:rsidP="00781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3D665334" w14:textId="610C23FA" w:rsidR="0060623C" w:rsidRPr="004C50CE" w:rsidRDefault="003F2E5C" w:rsidP="00781C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in which members of the Board of Directors, </w:t>
      </w:r>
      <w:r>
        <w:rPr>
          <w:rFonts w:ascii="Arial" w:hAnsi="Arial"/>
          <w:color w:val="010000"/>
          <w:sz w:val="20"/>
        </w:rPr>
        <w:lastRenderedPageBreak/>
        <w:t xml:space="preserve">members of </w:t>
      </w:r>
      <w:r w:rsidR="00781C67">
        <w:rPr>
          <w:rFonts w:ascii="Arial" w:hAnsi="Arial"/>
          <w:color w:val="010000"/>
          <w:sz w:val="20"/>
        </w:rPr>
        <w:t>the Supervisory Board, Executive</w:t>
      </w:r>
      <w:r>
        <w:rPr>
          <w:rFonts w:ascii="Arial" w:hAnsi="Arial"/>
          <w:color w:val="010000"/>
          <w:sz w:val="20"/>
        </w:rPr>
        <w:t xml:space="preserve"> Manager (the </w:t>
      </w:r>
      <w:r w:rsidR="00781C6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781C67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 xml:space="preserve">Executive Manager (the </w:t>
      </w:r>
      <w:r w:rsidR="00781C6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</w:t>
      </w:r>
      <w:r w:rsidR="00781C67">
        <w:rPr>
          <w:rFonts w:ascii="Arial" w:hAnsi="Arial"/>
          <w:color w:val="010000"/>
          <w:sz w:val="20"/>
        </w:rPr>
        <w:t>3) years (calculated at the date</w:t>
      </w:r>
      <w:r>
        <w:rPr>
          <w:rFonts w:ascii="Arial" w:hAnsi="Arial"/>
          <w:color w:val="010000"/>
          <w:sz w:val="20"/>
        </w:rPr>
        <w:t xml:space="preserve"> of reporting). None</w:t>
      </w:r>
    </w:p>
    <w:p w14:paraId="30C6A949" w14:textId="39D8AE16" w:rsidR="0060623C" w:rsidRPr="00637905" w:rsidRDefault="003F2E5C" w:rsidP="00781C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executed by the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people of members of the Board of Directors, membe</w:t>
      </w:r>
      <w:r w:rsidR="00781C67">
        <w:rPr>
          <w:rFonts w:ascii="Arial" w:hAnsi="Arial"/>
          <w:color w:val="010000"/>
          <w:sz w:val="20"/>
        </w:rPr>
        <w:t>rs of the Supervisory Board, Executive Manager (Managing Director</w:t>
      </w:r>
      <w:r>
        <w:rPr>
          <w:rFonts w:ascii="Arial" w:hAnsi="Arial"/>
          <w:color w:val="010000"/>
          <w:sz w:val="20"/>
        </w:rPr>
        <w:t>) and other managers who are member</w:t>
      </w:r>
      <w:r w:rsidR="00781C67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</w:t>
      </w:r>
      <w:r w:rsidR="00781C67">
        <w:rPr>
          <w:rFonts w:ascii="Arial" w:hAnsi="Arial"/>
          <w:color w:val="010000"/>
          <w:sz w:val="20"/>
        </w:rPr>
        <w:t>Executive Manager (Managing Director</w:t>
      </w:r>
      <w:r>
        <w:rPr>
          <w:rFonts w:ascii="Arial" w:hAnsi="Arial"/>
          <w:color w:val="010000"/>
          <w:sz w:val="20"/>
        </w:rPr>
        <w:t>). None.</w:t>
      </w:r>
    </w:p>
    <w:p w14:paraId="50592C70" w14:textId="06846362" w:rsidR="0060623C" w:rsidRPr="004C50CE" w:rsidRDefault="003F2E5C" w:rsidP="00781C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781C67">
        <w:rPr>
          <w:rFonts w:ascii="Arial" w:hAnsi="Arial"/>
          <w:color w:val="010000"/>
          <w:sz w:val="20"/>
        </w:rPr>
        <w:t>f the Supervisory Board, Executive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Manager (</w:t>
      </w:r>
      <w:r w:rsidR="00781C6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080A9324" w14:textId="667C0ADF" w:rsidR="0060623C" w:rsidRPr="004C50CE" w:rsidRDefault="003F2E5C" w:rsidP="00781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81C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18BB8660" w14:textId="5F88896D" w:rsidR="0060623C" w:rsidRPr="004C50CE" w:rsidRDefault="003F2E5C" w:rsidP="00781C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  <w:highlight w:val="white"/>
        </w:rPr>
        <w:t xml:space="preserve">Company’s share transactions of PDMR and </w:t>
      </w:r>
      <w:r w:rsidR="00781C67">
        <w:rPr>
          <w:rFonts w:ascii="Arial" w:hAnsi="Arial"/>
          <w:color w:val="010000"/>
          <w:sz w:val="20"/>
          <w:highlight w:val="white"/>
        </w:rPr>
        <w:t>related</w:t>
      </w:r>
      <w:r>
        <w:rPr>
          <w:rFonts w:ascii="Arial" w:hAnsi="Arial"/>
          <w:color w:val="010000"/>
          <w:sz w:val="20"/>
          <w:highlight w:val="white"/>
        </w:rPr>
        <w:t xml:space="preserve"> persons: None</w:t>
      </w:r>
    </w:p>
    <w:p w14:paraId="6D1ED07D" w14:textId="77777777" w:rsidR="0060623C" w:rsidRPr="004C50CE" w:rsidRDefault="003F2E5C" w:rsidP="00781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>
        <w:rPr>
          <w:rFonts w:ascii="Arial" w:hAnsi="Arial"/>
          <w:color w:val="010000"/>
          <w:sz w:val="20"/>
        </w:rPr>
        <w:t>Other significant issues:</w:t>
      </w:r>
    </w:p>
    <w:sectPr w:rsidR="0060623C" w:rsidRPr="004C50CE" w:rsidSect="00B15DE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08"/>
    <w:multiLevelType w:val="multilevel"/>
    <w:tmpl w:val="8DF80C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935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D83CCD"/>
    <w:multiLevelType w:val="multilevel"/>
    <w:tmpl w:val="F29C00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736"/>
    <w:multiLevelType w:val="multilevel"/>
    <w:tmpl w:val="C024BDF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532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FC166E"/>
    <w:multiLevelType w:val="multilevel"/>
    <w:tmpl w:val="16283E7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5D5E26"/>
    <w:multiLevelType w:val="multilevel"/>
    <w:tmpl w:val="4B6827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4FDF"/>
    <w:multiLevelType w:val="multilevel"/>
    <w:tmpl w:val="ABC42B7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3D1621"/>
    <w:multiLevelType w:val="multilevel"/>
    <w:tmpl w:val="298C6CB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2A1"/>
    <w:multiLevelType w:val="multilevel"/>
    <w:tmpl w:val="337A25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935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30D79F6"/>
    <w:multiLevelType w:val="multilevel"/>
    <w:tmpl w:val="5EA42CE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A5417B"/>
    <w:multiLevelType w:val="multilevel"/>
    <w:tmpl w:val="2AA8D02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2532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3C"/>
    <w:rsid w:val="003F2E5C"/>
    <w:rsid w:val="004C50CE"/>
    <w:rsid w:val="005C0719"/>
    <w:rsid w:val="0060623C"/>
    <w:rsid w:val="00637905"/>
    <w:rsid w:val="006600F5"/>
    <w:rsid w:val="00781C67"/>
    <w:rsid w:val="00B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2235"/>
  <w15:docId w15:val="{C179EC94-00FF-4481-83EA-EB50E15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53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5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54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5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5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3E68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54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EE5177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90"/>
    </w:pPr>
    <w:rPr>
      <w:rFonts w:ascii="Times New Roman" w:eastAsia="Times New Roman" w:hAnsi="Times New Roman" w:cs="Times New Roman"/>
      <w:color w:val="292532"/>
    </w:rPr>
  </w:style>
  <w:style w:type="paragraph" w:customStyle="1" w:styleId="Heading31">
    <w:name w:val="Heading #3"/>
    <w:basedOn w:val="Normal"/>
    <w:link w:val="Heading30"/>
    <w:pPr>
      <w:spacing w:line="276" w:lineRule="auto"/>
      <w:ind w:firstLine="380"/>
      <w:outlineLvl w:val="2"/>
    </w:pPr>
    <w:rPr>
      <w:rFonts w:ascii="Times New Roman" w:eastAsia="Times New Roman" w:hAnsi="Times New Roman" w:cs="Times New Roman"/>
      <w:b/>
      <w:bCs/>
      <w:color w:val="292532"/>
    </w:rPr>
  </w:style>
  <w:style w:type="paragraph" w:customStyle="1" w:styleId="Heading11">
    <w:name w:val="Heading #1"/>
    <w:basedOn w:val="Normal"/>
    <w:link w:val="Heading10"/>
    <w:pPr>
      <w:spacing w:line="33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93540"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29253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292532"/>
    </w:rPr>
  </w:style>
  <w:style w:type="paragraph" w:customStyle="1" w:styleId="Heading21">
    <w:name w:val="Heading #2"/>
    <w:basedOn w:val="Normal"/>
    <w:link w:val="Heading20"/>
    <w:pPr>
      <w:spacing w:line="502" w:lineRule="auto"/>
      <w:jc w:val="center"/>
      <w:outlineLvl w:val="1"/>
    </w:pPr>
    <w:rPr>
      <w:rFonts w:ascii="Times New Roman" w:eastAsia="Times New Roman" w:hAnsi="Times New Roman" w:cs="Times New Roman"/>
      <w:color w:val="F33E68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393540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Arial" w:eastAsia="Arial" w:hAnsi="Arial" w:cs="Arial"/>
      <w:smallCaps/>
      <w:color w:val="EE5177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oithepbinhtay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MlOvwZ6+kuLxNl9ib/mf+c705Q==">CgMxLjAyCGguZ2pkZ3hzOAByITFpVm1HOU5uTHE5Z3h5aEtnMVlPc2lTckcySjZfTl9Sbw==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2024-02-01T11:39:00Z</dcterms:created>
  <dcterms:modified xsi:type="dcterms:W3CDTF">2024-02-01T11:39:00Z</dcterms:modified>
</cp:coreProperties>
</file>