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E59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b/>
          <w:color w:val="010000"/>
          <w:sz w:val="20"/>
          <w:szCs w:val="20"/>
        </w:rPr>
      </w:pPr>
      <w:r w:rsidRPr="00CA41DB">
        <w:rPr>
          <w:rFonts w:ascii="Arial" w:hAnsi="Arial" w:cs="Arial"/>
          <w:b/>
          <w:color w:val="010000"/>
          <w:sz w:val="20"/>
        </w:rPr>
        <w:t>VIC123028: Periodic Report on principal and interest payment of corporate bonds (VICH2325004 bonds)</w:t>
      </w:r>
    </w:p>
    <w:p w14:paraId="5A4BDED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 xml:space="preserve">On January 26, 2024, </w:t>
      </w:r>
      <w:proofErr w:type="spellStart"/>
      <w:r w:rsidRPr="00CA41DB">
        <w:rPr>
          <w:rFonts w:ascii="Arial" w:hAnsi="Arial" w:cs="Arial"/>
          <w:color w:val="010000"/>
          <w:sz w:val="20"/>
        </w:rPr>
        <w:t>Vingroup</w:t>
      </w:r>
      <w:proofErr w:type="spellEnd"/>
      <w:r w:rsidRPr="00CA41DB">
        <w:rPr>
          <w:rFonts w:ascii="Arial" w:hAnsi="Arial" w:cs="Arial"/>
          <w:color w:val="010000"/>
          <w:sz w:val="20"/>
        </w:rPr>
        <w:t xml:space="preserve"> Company - JSC announced Report No. 260124/CV/KT-VGR on the principal and interest payment of corporate bonds (VICH2325004 bonds, bond code: VIC123028) as follows:</w:t>
      </w:r>
    </w:p>
    <w:p w14:paraId="2BB0BEEA" w14:textId="77777777" w:rsidR="00D235FE" w:rsidRPr="00CA41DB" w:rsidRDefault="005A7D6F" w:rsidP="005A7D6F">
      <w:pPr>
        <w:numPr>
          <w:ilvl w:val="0"/>
          <w:numId w:val="1"/>
        </w:numPr>
        <w:pBdr>
          <w:top w:val="nil"/>
          <w:left w:val="nil"/>
          <w:bottom w:val="nil"/>
          <w:right w:val="nil"/>
          <w:between w:val="nil"/>
        </w:pBdr>
        <w:tabs>
          <w:tab w:val="left" w:pos="567"/>
        </w:tabs>
        <w:spacing w:after="120" w:line="360" w:lineRule="auto"/>
        <w:ind w:left="0" w:firstLine="0"/>
        <w:rPr>
          <w:rFonts w:ascii="Arial" w:eastAsia="Arial" w:hAnsi="Arial" w:cs="Arial"/>
          <w:color w:val="010000"/>
          <w:sz w:val="20"/>
          <w:szCs w:val="20"/>
        </w:rPr>
      </w:pPr>
      <w:r w:rsidRPr="00CA41DB">
        <w:rPr>
          <w:rFonts w:ascii="Arial" w:hAnsi="Arial" w:cs="Arial"/>
          <w:color w:val="010000"/>
          <w:sz w:val="20"/>
        </w:rPr>
        <w:t xml:space="preserve"> Report on bond principal and interest payment (Reporting period from January 1, 2023 to the end of December 31, 2023)</w:t>
      </w:r>
    </w:p>
    <w:p w14:paraId="3698E48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Unit: Million VND</w:t>
      </w:r>
    </w:p>
    <w:tbl>
      <w:tblPr>
        <w:tblStyle w:val="a"/>
        <w:tblW w:w="5000" w:type="pct"/>
        <w:tblLook w:val="0000" w:firstRow="0" w:lastRow="0" w:firstColumn="0" w:lastColumn="0" w:noHBand="0" w:noVBand="0"/>
      </w:tblPr>
      <w:tblGrid>
        <w:gridCol w:w="1164"/>
        <w:gridCol w:w="970"/>
        <w:gridCol w:w="1132"/>
        <w:gridCol w:w="1132"/>
        <w:gridCol w:w="787"/>
        <w:gridCol w:w="687"/>
        <w:gridCol w:w="787"/>
        <w:gridCol w:w="687"/>
        <w:gridCol w:w="986"/>
        <w:gridCol w:w="687"/>
      </w:tblGrid>
      <w:tr w:rsidR="00D235FE" w:rsidRPr="00CA41DB" w14:paraId="39AB6E55" w14:textId="77777777" w:rsidTr="005A7D6F">
        <w:tc>
          <w:tcPr>
            <w:tcW w:w="68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2851BB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Securities code</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785062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Term</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54B169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Issue date</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CAE465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Maturity date</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4CD6D5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Opening balance*</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7E7A3F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Payment during the period</w:t>
            </w:r>
          </w:p>
        </w:tc>
        <w:tc>
          <w:tcPr>
            <w:tcW w:w="872" w:type="pct"/>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C8A88B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Outstanding balance at the end of the period</w:t>
            </w:r>
          </w:p>
        </w:tc>
      </w:tr>
      <w:tr w:rsidR="00D235FE" w:rsidRPr="00CA41DB" w14:paraId="0BEA4480" w14:textId="77777777" w:rsidTr="005A7D6F">
        <w:tc>
          <w:tcPr>
            <w:tcW w:w="681"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0B47FE9" w14:textId="77777777" w:rsidR="00D235FE" w:rsidRPr="00CA41DB" w:rsidRDefault="00D235FE" w:rsidP="005A7D6F">
            <w:pPr>
              <w:pBdr>
                <w:top w:val="nil"/>
                <w:left w:val="nil"/>
                <w:bottom w:val="nil"/>
                <w:right w:val="nil"/>
                <w:between w:val="nil"/>
              </w:pBdr>
              <w:spacing w:after="120" w:line="360" w:lineRule="auto"/>
              <w:rPr>
                <w:rFonts w:ascii="Arial" w:eastAsia="Arial" w:hAnsi="Arial" w:cs="Arial"/>
                <w:color w:val="010000"/>
                <w:sz w:val="20"/>
                <w:szCs w:val="20"/>
              </w:rPr>
            </w:pPr>
          </w:p>
        </w:tc>
        <w:tc>
          <w:tcPr>
            <w:tcW w:w="573"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79BB6A2" w14:textId="77777777" w:rsidR="00D235FE" w:rsidRPr="00CA41DB" w:rsidRDefault="00D235FE" w:rsidP="005A7D6F">
            <w:pPr>
              <w:pBdr>
                <w:top w:val="nil"/>
                <w:left w:val="nil"/>
                <w:bottom w:val="nil"/>
                <w:right w:val="nil"/>
                <w:between w:val="nil"/>
              </w:pBdr>
              <w:spacing w:after="120" w:line="360" w:lineRule="auto"/>
              <w:rPr>
                <w:rFonts w:ascii="Arial" w:eastAsia="Arial" w:hAnsi="Arial" w:cs="Arial"/>
                <w:color w:val="010000"/>
                <w:sz w:val="20"/>
                <w:szCs w:val="20"/>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BBA260B" w14:textId="77777777" w:rsidR="00D235FE" w:rsidRPr="00CA41DB" w:rsidRDefault="00D235FE" w:rsidP="005A7D6F">
            <w:pPr>
              <w:pBdr>
                <w:top w:val="nil"/>
                <w:left w:val="nil"/>
                <w:bottom w:val="nil"/>
                <w:right w:val="nil"/>
                <w:between w:val="nil"/>
              </w:pBdr>
              <w:spacing w:after="120" w:line="360" w:lineRule="auto"/>
              <w:rPr>
                <w:rFonts w:ascii="Arial" w:eastAsia="Arial" w:hAnsi="Arial" w:cs="Arial"/>
                <w:color w:val="010000"/>
                <w:sz w:val="20"/>
                <w:szCs w:val="20"/>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F523406" w14:textId="77777777" w:rsidR="00D235FE" w:rsidRPr="00CA41DB" w:rsidRDefault="00D235FE" w:rsidP="005A7D6F">
            <w:pPr>
              <w:pBdr>
                <w:top w:val="nil"/>
                <w:left w:val="nil"/>
                <w:bottom w:val="nil"/>
                <w:right w:val="nil"/>
                <w:between w:val="nil"/>
              </w:pBdr>
              <w:spacing w:after="120" w:line="360" w:lineRule="auto"/>
              <w:rPr>
                <w:rFonts w:ascii="Arial" w:eastAsia="Arial" w:hAnsi="Arial" w:cs="Arial"/>
                <w:color w:val="010000"/>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FA298F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Principal</w:t>
            </w:r>
          </w:p>
        </w:tc>
        <w:tc>
          <w:tcPr>
            <w:tcW w:w="34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BD3288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Interest</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EC692F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Principal</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301ECD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Interest</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BE7FAC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Principal</w:t>
            </w:r>
          </w:p>
        </w:tc>
        <w:tc>
          <w:tcPr>
            <w:tcW w:w="29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D8B814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Interest</w:t>
            </w:r>
          </w:p>
        </w:tc>
      </w:tr>
      <w:tr w:rsidR="00D235FE" w:rsidRPr="00CA41DB" w14:paraId="471A597B" w14:textId="77777777" w:rsidTr="005A7D6F">
        <w:tc>
          <w:tcPr>
            <w:tcW w:w="681"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520388B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VIC123028</w:t>
            </w:r>
          </w:p>
        </w:tc>
        <w:tc>
          <w:tcPr>
            <w:tcW w:w="573"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6CA159C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24 months</w:t>
            </w:r>
          </w:p>
        </w:tc>
        <w:tc>
          <w:tcPr>
            <w:tcW w:w="663"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04FD299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August 31, 2023</w:t>
            </w:r>
          </w:p>
        </w:tc>
        <w:tc>
          <w:tcPr>
            <w:tcW w:w="663"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7F305B3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August 31, 2025</w:t>
            </w:r>
          </w:p>
        </w:tc>
        <w:tc>
          <w:tcPr>
            <w:tcW w:w="472"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7D2942D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342"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32F74DD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368"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5471E91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366"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3107720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582" w:type="pct"/>
            <w:tcBorders>
              <w:top w:val="single" w:sz="4" w:space="0" w:color="auto"/>
              <w:left w:val="single" w:sz="4" w:space="0" w:color="000000"/>
              <w:bottom w:val="single" w:sz="4" w:space="0" w:color="000000"/>
            </w:tcBorders>
            <w:shd w:val="clear" w:color="auto" w:fill="auto"/>
            <w:tcMar>
              <w:top w:w="0" w:type="dxa"/>
              <w:bottom w:w="0" w:type="dxa"/>
            </w:tcMar>
            <w:vAlign w:val="center"/>
          </w:tcPr>
          <w:p w14:paraId="05AED84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692,415.5</w:t>
            </w:r>
          </w:p>
        </w:tc>
        <w:tc>
          <w:tcPr>
            <w:tcW w:w="290" w:type="pct"/>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vAlign w:val="center"/>
          </w:tcPr>
          <w:p w14:paraId="1FACE6A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bl>
    <w:p w14:paraId="58E7AD5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 Bonds are issued on August 31, 2023, so the opening balance on January 1, 2023 = 0.</w:t>
      </w:r>
    </w:p>
    <w:p w14:paraId="4AF17410" w14:textId="77777777" w:rsidR="00D235FE" w:rsidRPr="00CA41DB" w:rsidRDefault="005A7D6F" w:rsidP="005A7D6F">
      <w:pPr>
        <w:numPr>
          <w:ilvl w:val="0"/>
          <w:numId w:val="1"/>
        </w:numPr>
        <w:pBdr>
          <w:top w:val="nil"/>
          <w:left w:val="nil"/>
          <w:bottom w:val="nil"/>
          <w:right w:val="nil"/>
          <w:between w:val="nil"/>
        </w:pBdr>
        <w:tabs>
          <w:tab w:val="left" w:pos="567"/>
        </w:tabs>
        <w:spacing w:after="120" w:line="360" w:lineRule="auto"/>
        <w:ind w:left="0" w:firstLine="0"/>
        <w:rPr>
          <w:rFonts w:ascii="Arial" w:eastAsia="Arial" w:hAnsi="Arial" w:cs="Arial"/>
          <w:color w:val="010000"/>
          <w:sz w:val="20"/>
          <w:szCs w:val="20"/>
        </w:rPr>
      </w:pPr>
      <w:r w:rsidRPr="00CA41DB">
        <w:rPr>
          <w:rFonts w:ascii="Arial" w:hAnsi="Arial" w:cs="Arial"/>
          <w:color w:val="010000"/>
          <w:sz w:val="20"/>
        </w:rPr>
        <w:t xml:space="preserve">Report on bond holdings by investor (Reporting period from August 31, 2023 to the end of September 27, </w:t>
      </w:r>
      <w:proofErr w:type="gramStart"/>
      <w:r w:rsidRPr="00CA41DB">
        <w:rPr>
          <w:rFonts w:ascii="Arial" w:hAnsi="Arial" w:cs="Arial"/>
          <w:color w:val="010000"/>
          <w:sz w:val="20"/>
        </w:rPr>
        <w:t>2023)*</w:t>
      </w:r>
      <w:proofErr w:type="gramEnd"/>
      <w:r w:rsidRPr="00CA41DB">
        <w:rPr>
          <w:rFonts w:ascii="Arial" w:hAnsi="Arial" w:cs="Arial"/>
          <w:color w:val="010000"/>
          <w:sz w:val="20"/>
        </w:rPr>
        <w:t>**</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1093"/>
        <w:gridCol w:w="1097"/>
        <w:gridCol w:w="1160"/>
        <w:gridCol w:w="902"/>
        <w:gridCol w:w="1160"/>
        <w:gridCol w:w="1162"/>
      </w:tblGrid>
      <w:tr w:rsidR="00D235FE" w:rsidRPr="00CA41DB" w14:paraId="1B26AAED" w14:textId="77777777" w:rsidTr="005A7D6F">
        <w:tc>
          <w:tcPr>
            <w:tcW w:w="1355" w:type="pct"/>
            <w:vMerge w:val="restart"/>
            <w:shd w:val="clear" w:color="auto" w:fill="auto"/>
            <w:tcMar>
              <w:top w:w="0" w:type="dxa"/>
              <w:bottom w:w="0" w:type="dxa"/>
            </w:tcMar>
            <w:vAlign w:val="center"/>
          </w:tcPr>
          <w:p w14:paraId="2BFE700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Type of Investor</w:t>
            </w:r>
          </w:p>
        </w:tc>
        <w:tc>
          <w:tcPr>
            <w:tcW w:w="1214" w:type="pct"/>
            <w:gridSpan w:val="2"/>
            <w:shd w:val="clear" w:color="auto" w:fill="auto"/>
            <w:tcMar>
              <w:top w:w="0" w:type="dxa"/>
              <w:bottom w:w="0" w:type="dxa"/>
            </w:tcMar>
            <w:vAlign w:val="center"/>
          </w:tcPr>
          <w:p w14:paraId="5B1C1A0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Outstanding balance at the beginning of the period</w:t>
            </w:r>
          </w:p>
        </w:tc>
        <w:tc>
          <w:tcPr>
            <w:tcW w:w="1143" w:type="pct"/>
            <w:gridSpan w:val="2"/>
            <w:shd w:val="clear" w:color="auto" w:fill="auto"/>
            <w:tcMar>
              <w:top w:w="0" w:type="dxa"/>
              <w:bottom w:w="0" w:type="dxa"/>
            </w:tcMar>
            <w:vAlign w:val="center"/>
          </w:tcPr>
          <w:p w14:paraId="601E55F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Change in the period</w:t>
            </w:r>
          </w:p>
        </w:tc>
        <w:tc>
          <w:tcPr>
            <w:tcW w:w="1287" w:type="pct"/>
            <w:gridSpan w:val="2"/>
            <w:shd w:val="clear" w:color="auto" w:fill="auto"/>
            <w:tcMar>
              <w:top w:w="0" w:type="dxa"/>
              <w:bottom w:w="0" w:type="dxa"/>
            </w:tcMar>
            <w:vAlign w:val="center"/>
          </w:tcPr>
          <w:p w14:paraId="06D4575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Outstanding balance at the end of the period</w:t>
            </w:r>
          </w:p>
        </w:tc>
      </w:tr>
      <w:tr w:rsidR="00D235FE" w:rsidRPr="00CA41DB" w14:paraId="6FC96AD9" w14:textId="77777777" w:rsidTr="005A7D6F">
        <w:tc>
          <w:tcPr>
            <w:tcW w:w="1355" w:type="pct"/>
            <w:vMerge/>
            <w:shd w:val="clear" w:color="auto" w:fill="auto"/>
            <w:tcMar>
              <w:top w:w="0" w:type="dxa"/>
              <w:bottom w:w="0" w:type="dxa"/>
            </w:tcMar>
            <w:vAlign w:val="center"/>
          </w:tcPr>
          <w:p w14:paraId="3577FA2C" w14:textId="77777777" w:rsidR="00D235FE" w:rsidRPr="00CA41DB" w:rsidRDefault="00D235FE" w:rsidP="005A7D6F">
            <w:pPr>
              <w:pBdr>
                <w:top w:val="nil"/>
                <w:left w:val="nil"/>
                <w:bottom w:val="nil"/>
                <w:right w:val="nil"/>
                <w:between w:val="nil"/>
              </w:pBdr>
              <w:spacing w:after="120" w:line="360" w:lineRule="auto"/>
              <w:rPr>
                <w:rFonts w:ascii="Arial" w:eastAsia="Arial" w:hAnsi="Arial" w:cs="Arial"/>
                <w:color w:val="010000"/>
                <w:sz w:val="20"/>
                <w:szCs w:val="20"/>
              </w:rPr>
            </w:pPr>
          </w:p>
        </w:tc>
        <w:tc>
          <w:tcPr>
            <w:tcW w:w="606" w:type="pct"/>
            <w:shd w:val="clear" w:color="auto" w:fill="auto"/>
            <w:tcMar>
              <w:top w:w="0" w:type="dxa"/>
              <w:bottom w:w="0" w:type="dxa"/>
            </w:tcMar>
            <w:vAlign w:val="center"/>
          </w:tcPr>
          <w:p w14:paraId="56C54D0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Value (Million VND)</w:t>
            </w:r>
          </w:p>
        </w:tc>
        <w:tc>
          <w:tcPr>
            <w:tcW w:w="608" w:type="pct"/>
            <w:shd w:val="clear" w:color="auto" w:fill="auto"/>
            <w:tcMar>
              <w:top w:w="0" w:type="dxa"/>
              <w:bottom w:w="0" w:type="dxa"/>
            </w:tcMar>
            <w:vAlign w:val="center"/>
          </w:tcPr>
          <w:p w14:paraId="6A29576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Rate (%)</w:t>
            </w:r>
          </w:p>
        </w:tc>
        <w:tc>
          <w:tcPr>
            <w:tcW w:w="643" w:type="pct"/>
            <w:shd w:val="clear" w:color="auto" w:fill="auto"/>
            <w:tcMar>
              <w:top w:w="0" w:type="dxa"/>
              <w:bottom w:w="0" w:type="dxa"/>
            </w:tcMar>
            <w:vAlign w:val="center"/>
          </w:tcPr>
          <w:p w14:paraId="4F0B751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Value (Million VND)</w:t>
            </w:r>
          </w:p>
        </w:tc>
        <w:tc>
          <w:tcPr>
            <w:tcW w:w="500" w:type="pct"/>
            <w:shd w:val="clear" w:color="auto" w:fill="auto"/>
            <w:tcMar>
              <w:top w:w="0" w:type="dxa"/>
              <w:bottom w:w="0" w:type="dxa"/>
            </w:tcMar>
            <w:vAlign w:val="center"/>
          </w:tcPr>
          <w:p w14:paraId="0597EFA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Rate (%)</w:t>
            </w:r>
          </w:p>
        </w:tc>
        <w:tc>
          <w:tcPr>
            <w:tcW w:w="643" w:type="pct"/>
            <w:shd w:val="clear" w:color="auto" w:fill="auto"/>
            <w:tcMar>
              <w:top w:w="0" w:type="dxa"/>
              <w:bottom w:w="0" w:type="dxa"/>
            </w:tcMar>
            <w:vAlign w:val="center"/>
          </w:tcPr>
          <w:p w14:paraId="30D20D5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Value (Million VND)</w:t>
            </w:r>
          </w:p>
        </w:tc>
        <w:tc>
          <w:tcPr>
            <w:tcW w:w="644" w:type="pct"/>
            <w:shd w:val="clear" w:color="auto" w:fill="auto"/>
            <w:tcMar>
              <w:top w:w="0" w:type="dxa"/>
              <w:bottom w:w="0" w:type="dxa"/>
            </w:tcMar>
            <w:vAlign w:val="center"/>
          </w:tcPr>
          <w:p w14:paraId="0556D8D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Rate (%)</w:t>
            </w:r>
          </w:p>
        </w:tc>
      </w:tr>
      <w:tr w:rsidR="00D235FE" w:rsidRPr="00CA41DB" w14:paraId="07CCEFAE" w14:textId="77777777" w:rsidTr="005A7D6F">
        <w:tc>
          <w:tcPr>
            <w:tcW w:w="1355" w:type="pct"/>
            <w:shd w:val="clear" w:color="auto" w:fill="auto"/>
            <w:tcMar>
              <w:top w:w="0" w:type="dxa"/>
              <w:bottom w:w="0" w:type="dxa"/>
            </w:tcMar>
            <w:vAlign w:val="center"/>
          </w:tcPr>
          <w:p w14:paraId="1D14F04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 Domestic investors</w:t>
            </w:r>
          </w:p>
        </w:tc>
        <w:tc>
          <w:tcPr>
            <w:tcW w:w="606" w:type="pct"/>
            <w:shd w:val="clear" w:color="auto" w:fill="auto"/>
            <w:tcMar>
              <w:top w:w="0" w:type="dxa"/>
              <w:bottom w:w="0" w:type="dxa"/>
            </w:tcMar>
            <w:vAlign w:val="center"/>
          </w:tcPr>
          <w:p w14:paraId="4751DD5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645,865.5</w:t>
            </w:r>
          </w:p>
        </w:tc>
        <w:tc>
          <w:tcPr>
            <w:tcW w:w="608" w:type="pct"/>
            <w:shd w:val="clear" w:color="auto" w:fill="auto"/>
            <w:tcMar>
              <w:top w:w="0" w:type="dxa"/>
              <w:bottom w:w="0" w:type="dxa"/>
            </w:tcMar>
            <w:vAlign w:val="center"/>
          </w:tcPr>
          <w:p w14:paraId="2AA4D90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93.28%</w:t>
            </w:r>
          </w:p>
        </w:tc>
        <w:tc>
          <w:tcPr>
            <w:tcW w:w="643" w:type="pct"/>
            <w:shd w:val="clear" w:color="auto" w:fill="auto"/>
            <w:tcMar>
              <w:top w:w="0" w:type="dxa"/>
              <w:bottom w:w="0" w:type="dxa"/>
            </w:tcMar>
            <w:vAlign w:val="center"/>
          </w:tcPr>
          <w:p w14:paraId="1127930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4,000</w:t>
            </w:r>
          </w:p>
        </w:tc>
        <w:tc>
          <w:tcPr>
            <w:tcW w:w="500" w:type="pct"/>
            <w:shd w:val="clear" w:color="auto" w:fill="auto"/>
            <w:tcMar>
              <w:top w:w="0" w:type="dxa"/>
              <w:bottom w:w="0" w:type="dxa"/>
            </w:tcMar>
            <w:vAlign w:val="center"/>
          </w:tcPr>
          <w:p w14:paraId="36403C1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0.58%</w:t>
            </w:r>
          </w:p>
        </w:tc>
        <w:tc>
          <w:tcPr>
            <w:tcW w:w="643" w:type="pct"/>
            <w:shd w:val="clear" w:color="auto" w:fill="auto"/>
            <w:tcMar>
              <w:top w:w="0" w:type="dxa"/>
              <w:bottom w:w="0" w:type="dxa"/>
            </w:tcMar>
            <w:vAlign w:val="center"/>
          </w:tcPr>
          <w:p w14:paraId="594D782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649,865.5</w:t>
            </w:r>
          </w:p>
        </w:tc>
        <w:tc>
          <w:tcPr>
            <w:tcW w:w="644" w:type="pct"/>
            <w:shd w:val="clear" w:color="auto" w:fill="auto"/>
            <w:tcMar>
              <w:top w:w="0" w:type="dxa"/>
              <w:bottom w:w="0" w:type="dxa"/>
            </w:tcMar>
            <w:vAlign w:val="center"/>
          </w:tcPr>
          <w:p w14:paraId="0C071C1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93.85%</w:t>
            </w:r>
          </w:p>
        </w:tc>
      </w:tr>
      <w:tr w:rsidR="00D235FE" w:rsidRPr="00CA41DB" w14:paraId="3672072B" w14:textId="77777777" w:rsidTr="005A7D6F">
        <w:tc>
          <w:tcPr>
            <w:tcW w:w="1355" w:type="pct"/>
            <w:shd w:val="clear" w:color="auto" w:fill="auto"/>
            <w:tcMar>
              <w:top w:w="0" w:type="dxa"/>
              <w:bottom w:w="0" w:type="dxa"/>
            </w:tcMar>
            <w:vAlign w:val="center"/>
          </w:tcPr>
          <w:p w14:paraId="5C13937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 Institutional investors</w:t>
            </w:r>
          </w:p>
        </w:tc>
        <w:tc>
          <w:tcPr>
            <w:tcW w:w="606" w:type="pct"/>
            <w:shd w:val="clear" w:color="auto" w:fill="auto"/>
            <w:tcMar>
              <w:top w:w="0" w:type="dxa"/>
              <w:bottom w:w="0" w:type="dxa"/>
            </w:tcMar>
            <w:vAlign w:val="center"/>
          </w:tcPr>
          <w:p w14:paraId="760D315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39,500</w:t>
            </w:r>
          </w:p>
        </w:tc>
        <w:tc>
          <w:tcPr>
            <w:tcW w:w="608" w:type="pct"/>
            <w:shd w:val="clear" w:color="auto" w:fill="auto"/>
            <w:tcMar>
              <w:top w:w="0" w:type="dxa"/>
              <w:bottom w:w="0" w:type="dxa"/>
            </w:tcMar>
            <w:vAlign w:val="center"/>
          </w:tcPr>
          <w:p w14:paraId="732AD32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5.70%</w:t>
            </w:r>
          </w:p>
        </w:tc>
        <w:tc>
          <w:tcPr>
            <w:tcW w:w="643" w:type="pct"/>
            <w:shd w:val="clear" w:color="auto" w:fill="auto"/>
            <w:tcMar>
              <w:top w:w="0" w:type="dxa"/>
              <w:bottom w:w="0" w:type="dxa"/>
            </w:tcMar>
            <w:vAlign w:val="center"/>
          </w:tcPr>
          <w:p w14:paraId="4CF2BB5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7,000</w:t>
            </w:r>
          </w:p>
        </w:tc>
        <w:tc>
          <w:tcPr>
            <w:tcW w:w="500" w:type="pct"/>
            <w:shd w:val="clear" w:color="auto" w:fill="auto"/>
            <w:tcMar>
              <w:top w:w="0" w:type="dxa"/>
              <w:bottom w:w="0" w:type="dxa"/>
            </w:tcMar>
            <w:vAlign w:val="center"/>
          </w:tcPr>
          <w:p w14:paraId="170A839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1.01%</w:t>
            </w:r>
          </w:p>
        </w:tc>
        <w:tc>
          <w:tcPr>
            <w:tcW w:w="643" w:type="pct"/>
            <w:shd w:val="clear" w:color="auto" w:fill="auto"/>
            <w:tcMar>
              <w:top w:w="0" w:type="dxa"/>
              <w:bottom w:w="0" w:type="dxa"/>
            </w:tcMar>
            <w:vAlign w:val="center"/>
          </w:tcPr>
          <w:p w14:paraId="09667F5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46,500</w:t>
            </w:r>
          </w:p>
        </w:tc>
        <w:tc>
          <w:tcPr>
            <w:tcW w:w="644" w:type="pct"/>
            <w:shd w:val="clear" w:color="auto" w:fill="auto"/>
            <w:tcMar>
              <w:top w:w="0" w:type="dxa"/>
              <w:bottom w:w="0" w:type="dxa"/>
            </w:tcMar>
            <w:vAlign w:val="center"/>
          </w:tcPr>
          <w:p w14:paraId="3C30C7E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6.72%</w:t>
            </w:r>
          </w:p>
        </w:tc>
      </w:tr>
      <w:tr w:rsidR="00D235FE" w:rsidRPr="00CA41DB" w14:paraId="454C5538" w14:textId="77777777" w:rsidTr="005A7D6F">
        <w:tc>
          <w:tcPr>
            <w:tcW w:w="1355" w:type="pct"/>
            <w:shd w:val="clear" w:color="auto" w:fill="auto"/>
            <w:tcMar>
              <w:top w:w="0" w:type="dxa"/>
              <w:bottom w:w="0" w:type="dxa"/>
            </w:tcMar>
            <w:vAlign w:val="center"/>
          </w:tcPr>
          <w:p w14:paraId="4F89C81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a) Credit institutions*</w:t>
            </w:r>
          </w:p>
        </w:tc>
        <w:tc>
          <w:tcPr>
            <w:tcW w:w="606" w:type="pct"/>
            <w:shd w:val="clear" w:color="auto" w:fill="auto"/>
            <w:tcMar>
              <w:top w:w="0" w:type="dxa"/>
              <w:bottom w:w="0" w:type="dxa"/>
            </w:tcMar>
            <w:vAlign w:val="center"/>
          </w:tcPr>
          <w:p w14:paraId="73CD575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279DA28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6570750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2647380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153E641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15930C5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0F6BCF1C" w14:textId="77777777" w:rsidTr="005A7D6F">
        <w:tc>
          <w:tcPr>
            <w:tcW w:w="1355" w:type="pct"/>
            <w:shd w:val="clear" w:color="auto" w:fill="auto"/>
            <w:tcMar>
              <w:top w:w="0" w:type="dxa"/>
              <w:bottom w:w="0" w:type="dxa"/>
            </w:tcMar>
            <w:vAlign w:val="center"/>
          </w:tcPr>
          <w:p w14:paraId="1C6E1E5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b) Investment fund</w:t>
            </w:r>
          </w:p>
        </w:tc>
        <w:tc>
          <w:tcPr>
            <w:tcW w:w="606" w:type="pct"/>
            <w:shd w:val="clear" w:color="auto" w:fill="auto"/>
            <w:tcMar>
              <w:top w:w="0" w:type="dxa"/>
              <w:bottom w:w="0" w:type="dxa"/>
            </w:tcMar>
            <w:vAlign w:val="center"/>
          </w:tcPr>
          <w:p w14:paraId="478F812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30,000</w:t>
            </w:r>
          </w:p>
        </w:tc>
        <w:tc>
          <w:tcPr>
            <w:tcW w:w="608" w:type="pct"/>
            <w:shd w:val="clear" w:color="auto" w:fill="auto"/>
            <w:tcMar>
              <w:top w:w="0" w:type="dxa"/>
              <w:bottom w:w="0" w:type="dxa"/>
            </w:tcMar>
            <w:vAlign w:val="center"/>
          </w:tcPr>
          <w:p w14:paraId="675B2EF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4.33%</w:t>
            </w:r>
          </w:p>
        </w:tc>
        <w:tc>
          <w:tcPr>
            <w:tcW w:w="643" w:type="pct"/>
            <w:shd w:val="clear" w:color="auto" w:fill="auto"/>
            <w:tcMar>
              <w:top w:w="0" w:type="dxa"/>
              <w:bottom w:w="0" w:type="dxa"/>
            </w:tcMar>
            <w:vAlign w:val="center"/>
          </w:tcPr>
          <w:p w14:paraId="30261D4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413E6C0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12C2778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30,000</w:t>
            </w:r>
          </w:p>
        </w:tc>
        <w:tc>
          <w:tcPr>
            <w:tcW w:w="644" w:type="pct"/>
            <w:shd w:val="clear" w:color="auto" w:fill="auto"/>
            <w:tcMar>
              <w:top w:w="0" w:type="dxa"/>
              <w:bottom w:w="0" w:type="dxa"/>
            </w:tcMar>
            <w:vAlign w:val="center"/>
          </w:tcPr>
          <w:p w14:paraId="4971022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4.33%</w:t>
            </w:r>
          </w:p>
        </w:tc>
      </w:tr>
      <w:tr w:rsidR="00D235FE" w:rsidRPr="00CA41DB" w14:paraId="227B053C" w14:textId="77777777" w:rsidTr="005A7D6F">
        <w:tc>
          <w:tcPr>
            <w:tcW w:w="1355" w:type="pct"/>
            <w:shd w:val="clear" w:color="auto" w:fill="auto"/>
            <w:tcMar>
              <w:top w:w="0" w:type="dxa"/>
              <w:bottom w:w="0" w:type="dxa"/>
            </w:tcMar>
            <w:vAlign w:val="center"/>
          </w:tcPr>
          <w:p w14:paraId="35F5293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c) Securities companies</w:t>
            </w:r>
          </w:p>
        </w:tc>
        <w:tc>
          <w:tcPr>
            <w:tcW w:w="606" w:type="pct"/>
            <w:shd w:val="clear" w:color="auto" w:fill="auto"/>
            <w:tcMar>
              <w:top w:w="0" w:type="dxa"/>
              <w:bottom w:w="0" w:type="dxa"/>
            </w:tcMar>
            <w:vAlign w:val="center"/>
          </w:tcPr>
          <w:p w14:paraId="193AAD6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7B1ADF0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50EBA3A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7AF224D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367C50E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5A379C7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5131C9B0" w14:textId="77777777" w:rsidTr="005A7D6F">
        <w:tc>
          <w:tcPr>
            <w:tcW w:w="1355" w:type="pct"/>
            <w:shd w:val="clear" w:color="auto" w:fill="auto"/>
            <w:tcMar>
              <w:top w:w="0" w:type="dxa"/>
              <w:bottom w:w="0" w:type="dxa"/>
            </w:tcMar>
            <w:vAlign w:val="center"/>
          </w:tcPr>
          <w:p w14:paraId="64848D8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d) Insurance companies</w:t>
            </w:r>
          </w:p>
        </w:tc>
        <w:tc>
          <w:tcPr>
            <w:tcW w:w="606" w:type="pct"/>
            <w:shd w:val="clear" w:color="auto" w:fill="auto"/>
            <w:tcMar>
              <w:top w:w="0" w:type="dxa"/>
              <w:bottom w:w="0" w:type="dxa"/>
            </w:tcMar>
            <w:vAlign w:val="center"/>
          </w:tcPr>
          <w:p w14:paraId="4C35B5B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43888F6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68F3756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5,000</w:t>
            </w:r>
          </w:p>
        </w:tc>
        <w:tc>
          <w:tcPr>
            <w:tcW w:w="500" w:type="pct"/>
            <w:shd w:val="clear" w:color="auto" w:fill="auto"/>
            <w:tcMar>
              <w:top w:w="0" w:type="dxa"/>
              <w:bottom w:w="0" w:type="dxa"/>
            </w:tcMar>
            <w:vAlign w:val="center"/>
          </w:tcPr>
          <w:p w14:paraId="5EEB053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0.72%</w:t>
            </w:r>
          </w:p>
        </w:tc>
        <w:tc>
          <w:tcPr>
            <w:tcW w:w="643" w:type="pct"/>
            <w:shd w:val="clear" w:color="auto" w:fill="auto"/>
            <w:tcMar>
              <w:top w:w="0" w:type="dxa"/>
              <w:bottom w:w="0" w:type="dxa"/>
            </w:tcMar>
            <w:vAlign w:val="center"/>
          </w:tcPr>
          <w:p w14:paraId="79332BC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5,000</w:t>
            </w:r>
          </w:p>
        </w:tc>
        <w:tc>
          <w:tcPr>
            <w:tcW w:w="644" w:type="pct"/>
            <w:shd w:val="clear" w:color="auto" w:fill="auto"/>
            <w:tcMar>
              <w:top w:w="0" w:type="dxa"/>
              <w:bottom w:w="0" w:type="dxa"/>
            </w:tcMar>
            <w:vAlign w:val="center"/>
          </w:tcPr>
          <w:p w14:paraId="3B23384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0.72%</w:t>
            </w:r>
          </w:p>
        </w:tc>
      </w:tr>
      <w:tr w:rsidR="00D235FE" w:rsidRPr="00CA41DB" w14:paraId="2B987F12" w14:textId="77777777" w:rsidTr="005A7D6F">
        <w:tc>
          <w:tcPr>
            <w:tcW w:w="1355" w:type="pct"/>
            <w:shd w:val="clear" w:color="auto" w:fill="auto"/>
            <w:tcMar>
              <w:top w:w="0" w:type="dxa"/>
              <w:bottom w:w="0" w:type="dxa"/>
            </w:tcMar>
            <w:vAlign w:val="center"/>
          </w:tcPr>
          <w:p w14:paraId="7E1347F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CA41DB">
              <w:rPr>
                <w:rFonts w:ascii="Arial" w:hAnsi="Arial" w:cs="Arial"/>
                <w:color w:val="010000"/>
                <w:sz w:val="20"/>
              </w:rPr>
              <w:t>dd</w:t>
            </w:r>
            <w:proofErr w:type="spellEnd"/>
            <w:r w:rsidRPr="00CA41DB">
              <w:rPr>
                <w:rFonts w:ascii="Arial" w:hAnsi="Arial" w:cs="Arial"/>
                <w:color w:val="010000"/>
                <w:sz w:val="20"/>
              </w:rPr>
              <w:t>) Other organizations</w:t>
            </w:r>
          </w:p>
        </w:tc>
        <w:tc>
          <w:tcPr>
            <w:tcW w:w="606" w:type="pct"/>
            <w:shd w:val="clear" w:color="auto" w:fill="auto"/>
            <w:tcMar>
              <w:top w:w="0" w:type="dxa"/>
              <w:bottom w:w="0" w:type="dxa"/>
            </w:tcMar>
            <w:vAlign w:val="center"/>
          </w:tcPr>
          <w:p w14:paraId="44BDBA0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9,500</w:t>
            </w:r>
          </w:p>
        </w:tc>
        <w:tc>
          <w:tcPr>
            <w:tcW w:w="608" w:type="pct"/>
            <w:shd w:val="clear" w:color="auto" w:fill="auto"/>
            <w:tcMar>
              <w:top w:w="0" w:type="dxa"/>
              <w:bottom w:w="0" w:type="dxa"/>
            </w:tcMar>
            <w:vAlign w:val="center"/>
          </w:tcPr>
          <w:p w14:paraId="3D97A2B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1.37%</w:t>
            </w:r>
          </w:p>
        </w:tc>
        <w:tc>
          <w:tcPr>
            <w:tcW w:w="643" w:type="pct"/>
            <w:shd w:val="clear" w:color="auto" w:fill="auto"/>
            <w:tcMar>
              <w:top w:w="0" w:type="dxa"/>
              <w:bottom w:w="0" w:type="dxa"/>
            </w:tcMar>
            <w:vAlign w:val="center"/>
          </w:tcPr>
          <w:p w14:paraId="7D4B564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2,000</w:t>
            </w:r>
          </w:p>
        </w:tc>
        <w:tc>
          <w:tcPr>
            <w:tcW w:w="500" w:type="pct"/>
            <w:shd w:val="clear" w:color="auto" w:fill="auto"/>
            <w:tcMar>
              <w:top w:w="0" w:type="dxa"/>
              <w:bottom w:w="0" w:type="dxa"/>
            </w:tcMar>
            <w:vAlign w:val="center"/>
          </w:tcPr>
          <w:p w14:paraId="4E3A847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0.29%</w:t>
            </w:r>
          </w:p>
        </w:tc>
        <w:tc>
          <w:tcPr>
            <w:tcW w:w="643" w:type="pct"/>
            <w:shd w:val="clear" w:color="auto" w:fill="auto"/>
            <w:tcMar>
              <w:top w:w="0" w:type="dxa"/>
              <w:bottom w:w="0" w:type="dxa"/>
            </w:tcMar>
            <w:vAlign w:val="center"/>
          </w:tcPr>
          <w:p w14:paraId="35F7AD0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11,500</w:t>
            </w:r>
          </w:p>
        </w:tc>
        <w:tc>
          <w:tcPr>
            <w:tcW w:w="644" w:type="pct"/>
            <w:shd w:val="clear" w:color="auto" w:fill="auto"/>
            <w:tcMar>
              <w:top w:w="0" w:type="dxa"/>
              <w:bottom w:w="0" w:type="dxa"/>
            </w:tcMar>
            <w:vAlign w:val="center"/>
          </w:tcPr>
          <w:p w14:paraId="79B4E3E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1.66%</w:t>
            </w:r>
          </w:p>
        </w:tc>
      </w:tr>
      <w:tr w:rsidR="00D235FE" w:rsidRPr="00CA41DB" w14:paraId="5DE72468" w14:textId="77777777" w:rsidTr="005A7D6F">
        <w:tc>
          <w:tcPr>
            <w:tcW w:w="1355" w:type="pct"/>
            <w:shd w:val="clear" w:color="auto" w:fill="auto"/>
            <w:tcMar>
              <w:top w:w="0" w:type="dxa"/>
              <w:bottom w:w="0" w:type="dxa"/>
            </w:tcMar>
            <w:vAlign w:val="center"/>
          </w:tcPr>
          <w:p w14:paraId="144FA12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2. Individual investors</w:t>
            </w:r>
          </w:p>
        </w:tc>
        <w:tc>
          <w:tcPr>
            <w:tcW w:w="606" w:type="pct"/>
            <w:shd w:val="clear" w:color="auto" w:fill="auto"/>
            <w:tcMar>
              <w:top w:w="0" w:type="dxa"/>
              <w:bottom w:w="0" w:type="dxa"/>
            </w:tcMar>
            <w:vAlign w:val="center"/>
          </w:tcPr>
          <w:p w14:paraId="4DE5C67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606,365.5</w:t>
            </w:r>
          </w:p>
        </w:tc>
        <w:tc>
          <w:tcPr>
            <w:tcW w:w="608" w:type="pct"/>
            <w:shd w:val="clear" w:color="auto" w:fill="auto"/>
            <w:tcMar>
              <w:top w:w="0" w:type="dxa"/>
              <w:bottom w:w="0" w:type="dxa"/>
            </w:tcMar>
            <w:vAlign w:val="center"/>
          </w:tcPr>
          <w:p w14:paraId="02FC45D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87.57%</w:t>
            </w:r>
          </w:p>
        </w:tc>
        <w:tc>
          <w:tcPr>
            <w:tcW w:w="643" w:type="pct"/>
            <w:shd w:val="clear" w:color="auto" w:fill="auto"/>
            <w:tcMar>
              <w:top w:w="0" w:type="dxa"/>
              <w:bottom w:w="0" w:type="dxa"/>
            </w:tcMar>
            <w:vAlign w:val="center"/>
          </w:tcPr>
          <w:p w14:paraId="230EE9F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(3,000)</w:t>
            </w:r>
          </w:p>
        </w:tc>
        <w:tc>
          <w:tcPr>
            <w:tcW w:w="500" w:type="pct"/>
            <w:shd w:val="clear" w:color="auto" w:fill="auto"/>
            <w:tcMar>
              <w:top w:w="0" w:type="dxa"/>
              <w:bottom w:w="0" w:type="dxa"/>
            </w:tcMar>
            <w:vAlign w:val="center"/>
          </w:tcPr>
          <w:p w14:paraId="0E32ABC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-0.43%</w:t>
            </w:r>
          </w:p>
        </w:tc>
        <w:tc>
          <w:tcPr>
            <w:tcW w:w="643" w:type="pct"/>
            <w:shd w:val="clear" w:color="auto" w:fill="auto"/>
            <w:tcMar>
              <w:top w:w="0" w:type="dxa"/>
              <w:bottom w:w="0" w:type="dxa"/>
            </w:tcMar>
            <w:vAlign w:val="center"/>
          </w:tcPr>
          <w:p w14:paraId="48F4FC9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603,365.5</w:t>
            </w:r>
          </w:p>
        </w:tc>
        <w:tc>
          <w:tcPr>
            <w:tcW w:w="644" w:type="pct"/>
            <w:shd w:val="clear" w:color="auto" w:fill="auto"/>
            <w:tcMar>
              <w:top w:w="0" w:type="dxa"/>
              <w:bottom w:w="0" w:type="dxa"/>
            </w:tcMar>
            <w:vAlign w:val="center"/>
          </w:tcPr>
          <w:p w14:paraId="798AD3A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87.14%</w:t>
            </w:r>
          </w:p>
        </w:tc>
      </w:tr>
      <w:tr w:rsidR="00D235FE" w:rsidRPr="00CA41DB" w14:paraId="721B66E7" w14:textId="77777777" w:rsidTr="005A7D6F">
        <w:tc>
          <w:tcPr>
            <w:tcW w:w="1355" w:type="pct"/>
            <w:shd w:val="clear" w:color="auto" w:fill="auto"/>
            <w:tcMar>
              <w:top w:w="0" w:type="dxa"/>
              <w:bottom w:w="0" w:type="dxa"/>
            </w:tcMar>
            <w:vAlign w:val="center"/>
          </w:tcPr>
          <w:p w14:paraId="076C892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II. Foreign investors</w:t>
            </w:r>
          </w:p>
        </w:tc>
        <w:tc>
          <w:tcPr>
            <w:tcW w:w="606" w:type="pct"/>
            <w:shd w:val="clear" w:color="auto" w:fill="auto"/>
            <w:tcMar>
              <w:top w:w="0" w:type="dxa"/>
              <w:bottom w:w="0" w:type="dxa"/>
            </w:tcMar>
            <w:vAlign w:val="center"/>
          </w:tcPr>
          <w:p w14:paraId="69D6F2D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46,550</w:t>
            </w:r>
          </w:p>
        </w:tc>
        <w:tc>
          <w:tcPr>
            <w:tcW w:w="608" w:type="pct"/>
            <w:shd w:val="clear" w:color="auto" w:fill="auto"/>
            <w:tcMar>
              <w:top w:w="0" w:type="dxa"/>
              <w:bottom w:w="0" w:type="dxa"/>
            </w:tcMar>
            <w:vAlign w:val="center"/>
          </w:tcPr>
          <w:p w14:paraId="762FE39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6.72%</w:t>
            </w:r>
          </w:p>
        </w:tc>
        <w:tc>
          <w:tcPr>
            <w:tcW w:w="643" w:type="pct"/>
            <w:shd w:val="clear" w:color="auto" w:fill="auto"/>
            <w:tcMar>
              <w:top w:w="0" w:type="dxa"/>
              <w:bottom w:w="0" w:type="dxa"/>
            </w:tcMar>
            <w:vAlign w:val="center"/>
          </w:tcPr>
          <w:p w14:paraId="263C34B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(4,000)</w:t>
            </w:r>
          </w:p>
        </w:tc>
        <w:tc>
          <w:tcPr>
            <w:tcW w:w="500" w:type="pct"/>
            <w:shd w:val="clear" w:color="auto" w:fill="auto"/>
            <w:tcMar>
              <w:top w:w="0" w:type="dxa"/>
              <w:bottom w:w="0" w:type="dxa"/>
            </w:tcMar>
            <w:vAlign w:val="center"/>
          </w:tcPr>
          <w:p w14:paraId="6EBEFDF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-0.58%</w:t>
            </w:r>
          </w:p>
        </w:tc>
        <w:tc>
          <w:tcPr>
            <w:tcW w:w="643" w:type="pct"/>
            <w:shd w:val="clear" w:color="auto" w:fill="auto"/>
            <w:tcMar>
              <w:top w:w="0" w:type="dxa"/>
              <w:bottom w:w="0" w:type="dxa"/>
            </w:tcMar>
            <w:vAlign w:val="center"/>
          </w:tcPr>
          <w:p w14:paraId="3021AA0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42,550</w:t>
            </w:r>
          </w:p>
        </w:tc>
        <w:tc>
          <w:tcPr>
            <w:tcW w:w="644" w:type="pct"/>
            <w:shd w:val="clear" w:color="auto" w:fill="auto"/>
            <w:tcMar>
              <w:top w:w="0" w:type="dxa"/>
              <w:bottom w:w="0" w:type="dxa"/>
            </w:tcMar>
            <w:vAlign w:val="center"/>
          </w:tcPr>
          <w:p w14:paraId="1684722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6.15%</w:t>
            </w:r>
          </w:p>
        </w:tc>
      </w:tr>
      <w:tr w:rsidR="00D235FE" w:rsidRPr="00CA41DB" w14:paraId="5A0B347C" w14:textId="77777777" w:rsidTr="005A7D6F">
        <w:tc>
          <w:tcPr>
            <w:tcW w:w="1355" w:type="pct"/>
            <w:shd w:val="clear" w:color="auto" w:fill="auto"/>
            <w:tcMar>
              <w:top w:w="0" w:type="dxa"/>
              <w:bottom w:w="0" w:type="dxa"/>
            </w:tcMar>
            <w:vAlign w:val="center"/>
          </w:tcPr>
          <w:p w14:paraId="2047A2F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lastRenderedPageBreak/>
              <w:t>1. Institutional investors</w:t>
            </w:r>
          </w:p>
        </w:tc>
        <w:tc>
          <w:tcPr>
            <w:tcW w:w="606" w:type="pct"/>
            <w:shd w:val="clear" w:color="auto" w:fill="auto"/>
            <w:tcMar>
              <w:top w:w="0" w:type="dxa"/>
              <w:bottom w:w="0" w:type="dxa"/>
            </w:tcMar>
            <w:vAlign w:val="center"/>
          </w:tcPr>
          <w:p w14:paraId="774442C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43,000</w:t>
            </w:r>
          </w:p>
        </w:tc>
        <w:tc>
          <w:tcPr>
            <w:tcW w:w="608" w:type="pct"/>
            <w:shd w:val="clear" w:color="auto" w:fill="auto"/>
            <w:tcMar>
              <w:top w:w="0" w:type="dxa"/>
              <w:bottom w:w="0" w:type="dxa"/>
            </w:tcMar>
            <w:vAlign w:val="center"/>
          </w:tcPr>
          <w:p w14:paraId="10C2FD6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6.21%</w:t>
            </w:r>
          </w:p>
        </w:tc>
        <w:tc>
          <w:tcPr>
            <w:tcW w:w="643" w:type="pct"/>
            <w:shd w:val="clear" w:color="auto" w:fill="auto"/>
            <w:tcMar>
              <w:top w:w="0" w:type="dxa"/>
              <w:bottom w:w="0" w:type="dxa"/>
            </w:tcMar>
            <w:vAlign w:val="center"/>
          </w:tcPr>
          <w:p w14:paraId="2381015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(5,000)</w:t>
            </w:r>
          </w:p>
        </w:tc>
        <w:tc>
          <w:tcPr>
            <w:tcW w:w="500" w:type="pct"/>
            <w:shd w:val="clear" w:color="auto" w:fill="auto"/>
            <w:tcMar>
              <w:top w:w="0" w:type="dxa"/>
              <w:bottom w:w="0" w:type="dxa"/>
            </w:tcMar>
            <w:vAlign w:val="center"/>
          </w:tcPr>
          <w:p w14:paraId="271DFA3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-0.72%</w:t>
            </w:r>
          </w:p>
        </w:tc>
        <w:tc>
          <w:tcPr>
            <w:tcW w:w="643" w:type="pct"/>
            <w:shd w:val="clear" w:color="auto" w:fill="auto"/>
            <w:tcMar>
              <w:top w:w="0" w:type="dxa"/>
              <w:bottom w:w="0" w:type="dxa"/>
            </w:tcMar>
            <w:vAlign w:val="center"/>
          </w:tcPr>
          <w:p w14:paraId="4414067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38,000</w:t>
            </w:r>
          </w:p>
        </w:tc>
        <w:tc>
          <w:tcPr>
            <w:tcW w:w="644" w:type="pct"/>
            <w:shd w:val="clear" w:color="auto" w:fill="auto"/>
            <w:tcMar>
              <w:top w:w="0" w:type="dxa"/>
              <w:bottom w:w="0" w:type="dxa"/>
            </w:tcMar>
            <w:vAlign w:val="center"/>
          </w:tcPr>
          <w:p w14:paraId="4F49B75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5.49%</w:t>
            </w:r>
          </w:p>
        </w:tc>
      </w:tr>
      <w:tr w:rsidR="00D235FE" w:rsidRPr="00CA41DB" w14:paraId="35F95822" w14:textId="77777777" w:rsidTr="005A7D6F">
        <w:tc>
          <w:tcPr>
            <w:tcW w:w="1355" w:type="pct"/>
            <w:shd w:val="clear" w:color="auto" w:fill="auto"/>
            <w:tcMar>
              <w:top w:w="0" w:type="dxa"/>
              <w:bottom w:w="0" w:type="dxa"/>
            </w:tcMar>
            <w:vAlign w:val="center"/>
          </w:tcPr>
          <w:p w14:paraId="7AE9558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a) Credit institutions*</w:t>
            </w:r>
          </w:p>
        </w:tc>
        <w:tc>
          <w:tcPr>
            <w:tcW w:w="606" w:type="pct"/>
            <w:shd w:val="clear" w:color="auto" w:fill="auto"/>
            <w:tcMar>
              <w:top w:w="0" w:type="dxa"/>
              <w:bottom w:w="0" w:type="dxa"/>
            </w:tcMar>
            <w:vAlign w:val="center"/>
          </w:tcPr>
          <w:p w14:paraId="64823B9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7335B25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6E08090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454E2AD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62CDDB2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0E5D8D1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3E9A4966" w14:textId="77777777" w:rsidTr="005A7D6F">
        <w:tc>
          <w:tcPr>
            <w:tcW w:w="1355" w:type="pct"/>
            <w:shd w:val="clear" w:color="auto" w:fill="auto"/>
            <w:tcMar>
              <w:top w:w="0" w:type="dxa"/>
              <w:bottom w:w="0" w:type="dxa"/>
            </w:tcMar>
            <w:vAlign w:val="center"/>
          </w:tcPr>
          <w:p w14:paraId="39B6E87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b) Investment fund</w:t>
            </w:r>
          </w:p>
        </w:tc>
        <w:tc>
          <w:tcPr>
            <w:tcW w:w="606" w:type="pct"/>
            <w:shd w:val="clear" w:color="auto" w:fill="auto"/>
            <w:tcMar>
              <w:top w:w="0" w:type="dxa"/>
              <w:bottom w:w="0" w:type="dxa"/>
            </w:tcMar>
            <w:vAlign w:val="center"/>
          </w:tcPr>
          <w:p w14:paraId="39010E7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43,000</w:t>
            </w:r>
          </w:p>
        </w:tc>
        <w:tc>
          <w:tcPr>
            <w:tcW w:w="608" w:type="pct"/>
            <w:shd w:val="clear" w:color="auto" w:fill="auto"/>
            <w:tcMar>
              <w:top w:w="0" w:type="dxa"/>
              <w:bottom w:w="0" w:type="dxa"/>
            </w:tcMar>
            <w:vAlign w:val="center"/>
          </w:tcPr>
          <w:p w14:paraId="789416D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6.21%</w:t>
            </w:r>
          </w:p>
        </w:tc>
        <w:tc>
          <w:tcPr>
            <w:tcW w:w="643" w:type="pct"/>
            <w:shd w:val="clear" w:color="auto" w:fill="auto"/>
            <w:tcMar>
              <w:top w:w="0" w:type="dxa"/>
              <w:bottom w:w="0" w:type="dxa"/>
            </w:tcMar>
            <w:vAlign w:val="center"/>
          </w:tcPr>
          <w:p w14:paraId="643DE1E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(5,000)</w:t>
            </w:r>
          </w:p>
        </w:tc>
        <w:tc>
          <w:tcPr>
            <w:tcW w:w="500" w:type="pct"/>
            <w:shd w:val="clear" w:color="auto" w:fill="auto"/>
            <w:tcMar>
              <w:top w:w="0" w:type="dxa"/>
              <w:bottom w:w="0" w:type="dxa"/>
            </w:tcMar>
            <w:vAlign w:val="center"/>
          </w:tcPr>
          <w:p w14:paraId="350FDE4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-0.72%</w:t>
            </w:r>
          </w:p>
        </w:tc>
        <w:tc>
          <w:tcPr>
            <w:tcW w:w="643" w:type="pct"/>
            <w:shd w:val="clear" w:color="auto" w:fill="auto"/>
            <w:tcMar>
              <w:top w:w="0" w:type="dxa"/>
              <w:bottom w:w="0" w:type="dxa"/>
            </w:tcMar>
            <w:vAlign w:val="center"/>
          </w:tcPr>
          <w:p w14:paraId="3CCF9D6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38,000</w:t>
            </w:r>
          </w:p>
        </w:tc>
        <w:tc>
          <w:tcPr>
            <w:tcW w:w="644" w:type="pct"/>
            <w:shd w:val="clear" w:color="auto" w:fill="auto"/>
            <w:tcMar>
              <w:top w:w="0" w:type="dxa"/>
              <w:bottom w:w="0" w:type="dxa"/>
            </w:tcMar>
            <w:vAlign w:val="center"/>
          </w:tcPr>
          <w:p w14:paraId="03D5DD5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5.49%</w:t>
            </w:r>
          </w:p>
        </w:tc>
      </w:tr>
      <w:tr w:rsidR="00D235FE" w:rsidRPr="00CA41DB" w14:paraId="378BA943" w14:textId="77777777" w:rsidTr="005A7D6F">
        <w:tc>
          <w:tcPr>
            <w:tcW w:w="1355" w:type="pct"/>
            <w:shd w:val="clear" w:color="auto" w:fill="auto"/>
            <w:tcMar>
              <w:top w:w="0" w:type="dxa"/>
              <w:bottom w:w="0" w:type="dxa"/>
            </w:tcMar>
            <w:vAlign w:val="center"/>
          </w:tcPr>
          <w:p w14:paraId="3FFE974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c) Securities companies</w:t>
            </w:r>
          </w:p>
        </w:tc>
        <w:tc>
          <w:tcPr>
            <w:tcW w:w="606" w:type="pct"/>
            <w:shd w:val="clear" w:color="auto" w:fill="auto"/>
            <w:tcMar>
              <w:top w:w="0" w:type="dxa"/>
              <w:bottom w:w="0" w:type="dxa"/>
            </w:tcMar>
            <w:vAlign w:val="center"/>
          </w:tcPr>
          <w:p w14:paraId="24FDAA9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32859CF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4AE2DE0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7C6DBFB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19618AC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4E15DB52"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6F3ABEF2" w14:textId="77777777" w:rsidTr="005A7D6F">
        <w:tc>
          <w:tcPr>
            <w:tcW w:w="1355" w:type="pct"/>
            <w:shd w:val="clear" w:color="auto" w:fill="auto"/>
            <w:tcMar>
              <w:top w:w="0" w:type="dxa"/>
              <w:bottom w:w="0" w:type="dxa"/>
            </w:tcMar>
            <w:vAlign w:val="center"/>
          </w:tcPr>
          <w:p w14:paraId="03E94C5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d) Insurance companies</w:t>
            </w:r>
          </w:p>
        </w:tc>
        <w:tc>
          <w:tcPr>
            <w:tcW w:w="606" w:type="pct"/>
            <w:shd w:val="clear" w:color="auto" w:fill="auto"/>
            <w:tcMar>
              <w:top w:w="0" w:type="dxa"/>
              <w:bottom w:w="0" w:type="dxa"/>
            </w:tcMar>
            <w:vAlign w:val="center"/>
          </w:tcPr>
          <w:p w14:paraId="2821F5F4" w14:textId="77777777" w:rsidR="00D235FE" w:rsidRPr="00CA41DB" w:rsidRDefault="00D235FE" w:rsidP="005A7D6F">
            <w:pPr>
              <w:spacing w:after="120" w:line="360" w:lineRule="auto"/>
              <w:rPr>
                <w:rFonts w:ascii="Arial" w:eastAsia="Arial" w:hAnsi="Arial" w:cs="Arial"/>
                <w:color w:val="010000"/>
                <w:sz w:val="20"/>
                <w:szCs w:val="20"/>
              </w:rPr>
            </w:pPr>
          </w:p>
        </w:tc>
        <w:tc>
          <w:tcPr>
            <w:tcW w:w="608" w:type="pct"/>
            <w:shd w:val="clear" w:color="auto" w:fill="auto"/>
            <w:tcMar>
              <w:top w:w="0" w:type="dxa"/>
              <w:bottom w:w="0" w:type="dxa"/>
            </w:tcMar>
            <w:vAlign w:val="center"/>
          </w:tcPr>
          <w:p w14:paraId="39E5576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2E56C20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515DE4C0"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1A1D76A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775E143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72856405" w14:textId="77777777" w:rsidTr="005A7D6F">
        <w:tc>
          <w:tcPr>
            <w:tcW w:w="1355" w:type="pct"/>
            <w:shd w:val="clear" w:color="auto" w:fill="auto"/>
            <w:tcMar>
              <w:top w:w="0" w:type="dxa"/>
              <w:bottom w:w="0" w:type="dxa"/>
            </w:tcMar>
            <w:vAlign w:val="center"/>
          </w:tcPr>
          <w:p w14:paraId="3BBC4E03"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CA41DB">
              <w:rPr>
                <w:rFonts w:ascii="Arial" w:hAnsi="Arial" w:cs="Arial"/>
                <w:color w:val="010000"/>
                <w:sz w:val="20"/>
              </w:rPr>
              <w:t>dd</w:t>
            </w:r>
            <w:proofErr w:type="spellEnd"/>
            <w:r w:rsidRPr="00CA41DB">
              <w:rPr>
                <w:rFonts w:ascii="Arial" w:hAnsi="Arial" w:cs="Arial"/>
                <w:color w:val="010000"/>
                <w:sz w:val="20"/>
              </w:rPr>
              <w:t>) Other organizations</w:t>
            </w:r>
          </w:p>
        </w:tc>
        <w:tc>
          <w:tcPr>
            <w:tcW w:w="606" w:type="pct"/>
            <w:shd w:val="clear" w:color="auto" w:fill="auto"/>
            <w:tcMar>
              <w:top w:w="0" w:type="dxa"/>
              <w:bottom w:w="0" w:type="dxa"/>
            </w:tcMar>
            <w:vAlign w:val="center"/>
          </w:tcPr>
          <w:p w14:paraId="4209ABEC"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08" w:type="pct"/>
            <w:shd w:val="clear" w:color="auto" w:fill="auto"/>
            <w:tcMar>
              <w:top w:w="0" w:type="dxa"/>
              <w:bottom w:w="0" w:type="dxa"/>
            </w:tcMar>
            <w:vAlign w:val="center"/>
          </w:tcPr>
          <w:p w14:paraId="0815469E"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3342D29F"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500" w:type="pct"/>
            <w:shd w:val="clear" w:color="auto" w:fill="auto"/>
            <w:tcMar>
              <w:top w:w="0" w:type="dxa"/>
              <w:bottom w:w="0" w:type="dxa"/>
            </w:tcMar>
            <w:vAlign w:val="center"/>
          </w:tcPr>
          <w:p w14:paraId="2596F29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2AE50949"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w:t>
            </w:r>
          </w:p>
        </w:tc>
        <w:tc>
          <w:tcPr>
            <w:tcW w:w="644" w:type="pct"/>
            <w:shd w:val="clear" w:color="auto" w:fill="auto"/>
            <w:tcMar>
              <w:top w:w="0" w:type="dxa"/>
              <w:bottom w:w="0" w:type="dxa"/>
            </w:tcMar>
            <w:vAlign w:val="center"/>
          </w:tcPr>
          <w:p w14:paraId="2FA1F01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r>
      <w:tr w:rsidR="00D235FE" w:rsidRPr="00CA41DB" w14:paraId="63CD8000" w14:textId="77777777" w:rsidTr="005A7D6F">
        <w:tc>
          <w:tcPr>
            <w:tcW w:w="1355" w:type="pct"/>
            <w:shd w:val="clear" w:color="auto" w:fill="auto"/>
            <w:tcMar>
              <w:top w:w="0" w:type="dxa"/>
              <w:bottom w:w="0" w:type="dxa"/>
            </w:tcMar>
            <w:vAlign w:val="center"/>
          </w:tcPr>
          <w:p w14:paraId="025B0BB5"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2. Individual investors</w:t>
            </w:r>
          </w:p>
        </w:tc>
        <w:tc>
          <w:tcPr>
            <w:tcW w:w="606" w:type="pct"/>
            <w:shd w:val="clear" w:color="auto" w:fill="auto"/>
            <w:tcMar>
              <w:top w:w="0" w:type="dxa"/>
              <w:bottom w:w="0" w:type="dxa"/>
            </w:tcMar>
            <w:vAlign w:val="center"/>
          </w:tcPr>
          <w:p w14:paraId="79DCC3D7"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3,550</w:t>
            </w:r>
          </w:p>
        </w:tc>
        <w:tc>
          <w:tcPr>
            <w:tcW w:w="608" w:type="pct"/>
            <w:shd w:val="clear" w:color="auto" w:fill="auto"/>
            <w:tcMar>
              <w:top w:w="0" w:type="dxa"/>
              <w:bottom w:w="0" w:type="dxa"/>
            </w:tcMar>
            <w:vAlign w:val="center"/>
          </w:tcPr>
          <w:p w14:paraId="25520BF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0.51%</w:t>
            </w:r>
          </w:p>
        </w:tc>
        <w:tc>
          <w:tcPr>
            <w:tcW w:w="643" w:type="pct"/>
            <w:shd w:val="clear" w:color="auto" w:fill="auto"/>
            <w:tcMar>
              <w:top w:w="0" w:type="dxa"/>
              <w:bottom w:w="0" w:type="dxa"/>
            </w:tcMar>
            <w:vAlign w:val="center"/>
          </w:tcPr>
          <w:p w14:paraId="57A0D84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1,000</w:t>
            </w:r>
          </w:p>
        </w:tc>
        <w:tc>
          <w:tcPr>
            <w:tcW w:w="500" w:type="pct"/>
            <w:shd w:val="clear" w:color="auto" w:fill="auto"/>
            <w:tcMar>
              <w:top w:w="0" w:type="dxa"/>
              <w:bottom w:w="0" w:type="dxa"/>
            </w:tcMar>
            <w:vAlign w:val="center"/>
          </w:tcPr>
          <w:p w14:paraId="50959FFD"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0.14%</w:t>
            </w:r>
          </w:p>
        </w:tc>
        <w:tc>
          <w:tcPr>
            <w:tcW w:w="643" w:type="pct"/>
            <w:shd w:val="clear" w:color="auto" w:fill="auto"/>
            <w:tcMar>
              <w:top w:w="0" w:type="dxa"/>
              <w:bottom w:w="0" w:type="dxa"/>
            </w:tcMar>
            <w:vAlign w:val="center"/>
          </w:tcPr>
          <w:p w14:paraId="17278D58"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4,550</w:t>
            </w:r>
          </w:p>
        </w:tc>
        <w:tc>
          <w:tcPr>
            <w:tcW w:w="644" w:type="pct"/>
            <w:shd w:val="clear" w:color="auto" w:fill="auto"/>
            <w:tcMar>
              <w:top w:w="0" w:type="dxa"/>
              <w:bottom w:w="0" w:type="dxa"/>
            </w:tcMar>
            <w:vAlign w:val="center"/>
          </w:tcPr>
          <w:p w14:paraId="63663A0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0.66%</w:t>
            </w:r>
          </w:p>
        </w:tc>
      </w:tr>
      <w:tr w:rsidR="00D235FE" w:rsidRPr="00CA41DB" w14:paraId="29AA16DE" w14:textId="77777777" w:rsidTr="005A7D6F">
        <w:tc>
          <w:tcPr>
            <w:tcW w:w="1355" w:type="pct"/>
            <w:shd w:val="clear" w:color="auto" w:fill="auto"/>
            <w:tcMar>
              <w:top w:w="0" w:type="dxa"/>
              <w:bottom w:w="0" w:type="dxa"/>
            </w:tcMar>
            <w:vAlign w:val="center"/>
          </w:tcPr>
          <w:p w14:paraId="5DB46F3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Total</w:t>
            </w:r>
          </w:p>
        </w:tc>
        <w:tc>
          <w:tcPr>
            <w:tcW w:w="606" w:type="pct"/>
            <w:shd w:val="clear" w:color="auto" w:fill="auto"/>
            <w:tcMar>
              <w:top w:w="0" w:type="dxa"/>
              <w:bottom w:w="0" w:type="dxa"/>
            </w:tcMar>
            <w:vAlign w:val="center"/>
          </w:tcPr>
          <w:p w14:paraId="6E1A99E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692,415.5</w:t>
            </w:r>
          </w:p>
        </w:tc>
        <w:tc>
          <w:tcPr>
            <w:tcW w:w="608" w:type="pct"/>
            <w:shd w:val="clear" w:color="auto" w:fill="auto"/>
            <w:tcMar>
              <w:top w:w="0" w:type="dxa"/>
              <w:bottom w:w="0" w:type="dxa"/>
            </w:tcMar>
            <w:vAlign w:val="center"/>
          </w:tcPr>
          <w:p w14:paraId="0D8FB486"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100.00%</w:t>
            </w:r>
          </w:p>
        </w:tc>
        <w:tc>
          <w:tcPr>
            <w:tcW w:w="643" w:type="pct"/>
            <w:shd w:val="clear" w:color="auto" w:fill="auto"/>
            <w:tcMar>
              <w:top w:w="0" w:type="dxa"/>
              <w:bottom w:w="0" w:type="dxa"/>
            </w:tcMar>
            <w:vAlign w:val="center"/>
          </w:tcPr>
          <w:p w14:paraId="5D0D3EBC" w14:textId="77777777" w:rsidR="00D235FE" w:rsidRPr="00CA41DB" w:rsidRDefault="005A7D6F" w:rsidP="005A7D6F">
            <w:pPr>
              <w:pBdr>
                <w:top w:val="nil"/>
                <w:left w:val="nil"/>
                <w:bottom w:val="nil"/>
                <w:right w:val="nil"/>
                <w:between w:val="nil"/>
              </w:pBdr>
              <w:tabs>
                <w:tab w:val="left" w:pos="554"/>
                <w:tab w:val="left" w:pos="1231"/>
              </w:tabs>
              <w:spacing w:after="120" w:line="360" w:lineRule="auto"/>
              <w:rPr>
                <w:rFonts w:ascii="Arial" w:eastAsia="Arial" w:hAnsi="Arial" w:cs="Arial"/>
                <w:color w:val="010000"/>
                <w:sz w:val="20"/>
                <w:szCs w:val="20"/>
              </w:rPr>
            </w:pPr>
            <w:r w:rsidRPr="00CA41DB">
              <w:rPr>
                <w:rFonts w:ascii="Arial" w:hAnsi="Arial" w:cs="Arial"/>
                <w:color w:val="010000"/>
                <w:sz w:val="20"/>
              </w:rPr>
              <w:t xml:space="preserve"> - </w:t>
            </w:r>
          </w:p>
        </w:tc>
        <w:tc>
          <w:tcPr>
            <w:tcW w:w="500" w:type="pct"/>
            <w:shd w:val="clear" w:color="auto" w:fill="auto"/>
            <w:tcMar>
              <w:top w:w="0" w:type="dxa"/>
              <w:bottom w:w="0" w:type="dxa"/>
            </w:tcMar>
            <w:vAlign w:val="center"/>
          </w:tcPr>
          <w:p w14:paraId="602CAC21"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0.00%</w:t>
            </w:r>
          </w:p>
        </w:tc>
        <w:tc>
          <w:tcPr>
            <w:tcW w:w="643" w:type="pct"/>
            <w:shd w:val="clear" w:color="auto" w:fill="auto"/>
            <w:tcMar>
              <w:top w:w="0" w:type="dxa"/>
              <w:bottom w:w="0" w:type="dxa"/>
            </w:tcMar>
            <w:vAlign w:val="center"/>
          </w:tcPr>
          <w:p w14:paraId="2CD4552B"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692,415.5</w:t>
            </w:r>
          </w:p>
        </w:tc>
        <w:tc>
          <w:tcPr>
            <w:tcW w:w="644" w:type="pct"/>
            <w:shd w:val="clear" w:color="auto" w:fill="auto"/>
            <w:tcMar>
              <w:top w:w="0" w:type="dxa"/>
              <w:bottom w:w="0" w:type="dxa"/>
            </w:tcMar>
            <w:vAlign w:val="center"/>
          </w:tcPr>
          <w:p w14:paraId="68D40AAA"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100.00%</w:t>
            </w:r>
          </w:p>
        </w:tc>
      </w:tr>
    </w:tbl>
    <w:p w14:paraId="7D3C06D4" w14:textId="77777777" w:rsidR="00D235FE" w:rsidRPr="00CA41DB" w:rsidRDefault="005A7D6F" w:rsidP="005A7D6F">
      <w:pPr>
        <w:pBdr>
          <w:top w:val="nil"/>
          <w:left w:val="nil"/>
          <w:bottom w:val="nil"/>
          <w:right w:val="nil"/>
          <w:between w:val="nil"/>
        </w:pBdr>
        <w:spacing w:after="120" w:line="360" w:lineRule="auto"/>
        <w:rPr>
          <w:rFonts w:ascii="Arial" w:eastAsia="Arial" w:hAnsi="Arial" w:cs="Arial"/>
          <w:color w:val="010000"/>
          <w:sz w:val="20"/>
          <w:szCs w:val="20"/>
        </w:rPr>
      </w:pPr>
      <w:r w:rsidRPr="00CA41DB">
        <w:rPr>
          <w:rFonts w:ascii="Arial" w:hAnsi="Arial" w:cs="Arial"/>
          <w:color w:val="010000"/>
          <w:sz w:val="20"/>
        </w:rPr>
        <w:t xml:space="preserve">* Credit institutions include commercial banks, financial companies, finance leasing companies, microfinance institutions, people's credit funds. </w:t>
      </w:r>
    </w:p>
    <w:p w14:paraId="02DEFE76" w14:textId="77777777" w:rsidR="00D235FE" w:rsidRPr="00CA41DB" w:rsidRDefault="005A7D6F" w:rsidP="00256B5D">
      <w:pPr>
        <w:pBdr>
          <w:top w:val="nil"/>
          <w:left w:val="nil"/>
          <w:bottom w:val="nil"/>
          <w:right w:val="nil"/>
          <w:between w:val="nil"/>
        </w:pBdr>
        <w:spacing w:after="120" w:line="360" w:lineRule="auto"/>
        <w:jc w:val="both"/>
        <w:rPr>
          <w:rFonts w:ascii="Arial" w:eastAsia="Arial" w:hAnsi="Arial" w:cs="Arial"/>
          <w:color w:val="010000"/>
          <w:sz w:val="20"/>
          <w:szCs w:val="20"/>
        </w:rPr>
      </w:pPr>
      <w:r w:rsidRPr="00CA41DB">
        <w:rPr>
          <w:rFonts w:ascii="Arial" w:hAnsi="Arial" w:cs="Arial"/>
          <w:color w:val="010000"/>
          <w:sz w:val="20"/>
        </w:rPr>
        <w:t xml:space="preserve">*** August 31, 2023 is the issue date of the Bonds, the Bonds only have outstanding debt from this date. ** September 27, 2023 is the record date for the list of bondholders to implement </w:t>
      </w:r>
      <w:bookmarkStart w:id="0" w:name="_GoBack"/>
      <w:r w:rsidRPr="00CA41DB">
        <w:rPr>
          <w:rFonts w:ascii="Arial" w:hAnsi="Arial" w:cs="Arial"/>
          <w:color w:val="010000"/>
          <w:sz w:val="20"/>
        </w:rPr>
        <w:t>bond registration procedures at the Vietnam Securities Depository and Clearing Corporation. As of December 31, 2023, the Bond has not had any exercise of rights for investors, so September 27, 2023 is the basis for recording the most recent list of Bondholders.</w:t>
      </w:r>
      <w:bookmarkEnd w:id="0"/>
    </w:p>
    <w:sectPr w:rsidR="00D235FE" w:rsidRPr="00CA41DB" w:rsidSect="00FA2A0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9C1"/>
    <w:multiLevelType w:val="multilevel"/>
    <w:tmpl w:val="83FCDAA2"/>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FE"/>
    <w:rsid w:val="00256B5D"/>
    <w:rsid w:val="005A7D6F"/>
    <w:rsid w:val="00CA41DB"/>
    <w:rsid w:val="00D235FE"/>
    <w:rsid w:val="00FA2A0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B6D1A"/>
  <w15:docId w15:val="{C361D75B-01F6-49EE-AD69-3E8711B4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Segoe UI" w:eastAsia="Segoe UI" w:hAnsi="Segoe UI" w:cs="Segoe UI"/>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2"/>
      <w:szCs w:val="1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30">
    <w:name w:val="Body text (3)"/>
    <w:basedOn w:val="Normal"/>
    <w:link w:val="Bodytext3"/>
    <w:pPr>
      <w:spacing w:line="228" w:lineRule="auto"/>
    </w:pPr>
    <w:rPr>
      <w:rFonts w:ascii="Segoe UI" w:eastAsia="Segoe UI" w:hAnsi="Segoe UI" w:cs="Segoe UI"/>
      <w:sz w:val="17"/>
      <w:szCs w:val="17"/>
    </w:rPr>
  </w:style>
  <w:style w:type="paragraph" w:customStyle="1" w:styleId="Bodytext20">
    <w:name w:val="Body text (2)"/>
    <w:basedOn w:val="Normal"/>
    <w:link w:val="Bodytext2"/>
    <w:pPr>
      <w:spacing w:line="298" w:lineRule="auto"/>
    </w:pPr>
    <w:rPr>
      <w:rFonts w:ascii="Arial" w:eastAsia="Arial" w:hAnsi="Arial" w:cs="Arial"/>
      <w:sz w:val="9"/>
      <w:szCs w:val="9"/>
    </w:rPr>
  </w:style>
  <w:style w:type="paragraph" w:styleId="BodyText">
    <w:name w:val="Body Text"/>
    <w:basedOn w:val="Normal"/>
    <w:link w:val="BodyTextChar"/>
    <w:qFormat/>
    <w:pPr>
      <w:spacing w:line="298" w:lineRule="auto"/>
    </w:pPr>
    <w:rPr>
      <w:rFonts w:ascii="Times New Roman" w:eastAsia="Times New Roman" w:hAnsi="Times New Roman" w:cs="Times New Roman"/>
      <w:i/>
      <w:iCs/>
      <w:sz w:val="20"/>
      <w:szCs w:val="20"/>
    </w:rPr>
  </w:style>
  <w:style w:type="paragraph" w:customStyle="1" w:styleId="Bodytext50">
    <w:name w:val="Body text (5)"/>
    <w:basedOn w:val="Normal"/>
    <w:link w:val="Bodytext5"/>
    <w:pPr>
      <w:jc w:val="center"/>
    </w:pPr>
    <w:rPr>
      <w:rFonts w:ascii="Times New Roman" w:eastAsia="Times New Roman" w:hAnsi="Times New Roman" w:cs="Times New Roman"/>
      <w:b/>
      <w:bCs/>
      <w:sz w:val="14"/>
      <w:szCs w:val="14"/>
    </w:rPr>
  </w:style>
  <w:style w:type="paragraph" w:customStyle="1" w:styleId="Bodytext40">
    <w:name w:val="Body text (4)"/>
    <w:basedOn w:val="Normal"/>
    <w:link w:val="Bodytext4"/>
    <w:pPr>
      <w:jc w:val="center"/>
    </w:pPr>
    <w:rPr>
      <w:rFonts w:ascii="Arial" w:eastAsia="Arial" w:hAnsi="Arial" w:cs="Arial"/>
      <w:b/>
      <w:bCs/>
      <w:sz w:val="12"/>
      <w:szCs w:val="12"/>
    </w:rPr>
  </w:style>
  <w:style w:type="paragraph" w:customStyle="1" w:styleId="Tablecaption0">
    <w:name w:val="Table caption"/>
    <w:basedOn w:val="Normal"/>
    <w:link w:val="Tablecaption"/>
    <w:rPr>
      <w:rFonts w:ascii="Times New Roman" w:eastAsia="Times New Roman" w:hAnsi="Times New Roman" w:cs="Times New Roman"/>
      <w:i/>
      <w:iCs/>
      <w:sz w:val="20"/>
      <w:szCs w:val="20"/>
    </w:rPr>
  </w:style>
  <w:style w:type="paragraph" w:customStyle="1" w:styleId="Other0">
    <w:name w:val="Other"/>
    <w:basedOn w:val="Normal"/>
    <w:link w:val="Other"/>
    <w:pPr>
      <w:jc w:val="center"/>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UhVeYpDPwar2KivAveoZH6oMA==">CgMxLjA4AHIhMUpRRk5xaWdadDJQcmJnbmJYY1RBY3lXQ3d2UDBIa3lu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2024-01-31T04:30:00Z</dcterms:created>
  <dcterms:modified xsi:type="dcterms:W3CDTF">2024-02-01T09:04:00Z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a73505cd9d4b7a866ad9dfb84cb05c209260485f2b0bf46e82465e664d53610a</vt:lpwstr>
  </property>
</Properties>
</file>