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0183" w14:textId="77777777" w:rsidR="00F37B8F" w:rsidRPr="00187CDF" w:rsidRDefault="00DA3C3F" w:rsidP="00DA3C3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7CDF">
        <w:rPr>
          <w:rFonts w:ascii="Arial" w:hAnsi="Arial" w:cs="Arial"/>
          <w:b/>
          <w:color w:val="010000"/>
          <w:sz w:val="20"/>
        </w:rPr>
        <w:t>ABB: Correction of Annual Corporate Governance Report 2023</w:t>
      </w:r>
    </w:p>
    <w:p w14:paraId="1702D163" w14:textId="5CB66E4B" w:rsidR="00F37B8F" w:rsidRPr="00187CDF" w:rsidRDefault="00DA3C3F" w:rsidP="00DA3C3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7CDF">
        <w:rPr>
          <w:rFonts w:ascii="Arial" w:hAnsi="Arial" w:cs="Arial"/>
          <w:color w:val="010000"/>
          <w:sz w:val="20"/>
        </w:rPr>
        <w:t xml:space="preserve">On February 02, 2024, An </w:t>
      </w:r>
      <w:proofErr w:type="spellStart"/>
      <w:r w:rsidRPr="00187CDF">
        <w:rPr>
          <w:rFonts w:ascii="Arial" w:hAnsi="Arial" w:cs="Arial"/>
          <w:color w:val="010000"/>
          <w:sz w:val="20"/>
        </w:rPr>
        <w:t>Binh</w:t>
      </w:r>
      <w:proofErr w:type="spellEnd"/>
      <w:r w:rsidRPr="00187CDF">
        <w:rPr>
          <w:rFonts w:ascii="Arial" w:hAnsi="Arial" w:cs="Arial"/>
          <w:color w:val="010000"/>
          <w:sz w:val="20"/>
        </w:rPr>
        <w:t xml:space="preserve"> Commercial Joint Stock Bank announced Official Dispatch No. 22/CV-HDQT.24 on correcting information in the </w:t>
      </w:r>
      <w:r w:rsidR="00E578B1" w:rsidRPr="00187CDF">
        <w:rPr>
          <w:rFonts w:ascii="Arial" w:hAnsi="Arial" w:cs="Arial"/>
          <w:color w:val="010000"/>
          <w:sz w:val="20"/>
        </w:rPr>
        <w:t xml:space="preserve">Annual </w:t>
      </w:r>
      <w:r w:rsidRPr="00187CDF">
        <w:rPr>
          <w:rFonts w:ascii="Arial" w:hAnsi="Arial" w:cs="Arial"/>
          <w:color w:val="010000"/>
          <w:sz w:val="20"/>
        </w:rPr>
        <w:t>Corporate Governance Report 2023 as follows:</w:t>
      </w:r>
    </w:p>
    <w:p w14:paraId="622791CA" w14:textId="533862BA" w:rsidR="00F37B8F" w:rsidRPr="00187CDF" w:rsidRDefault="00DA3C3F" w:rsidP="00DA3C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87CDF">
        <w:rPr>
          <w:rFonts w:ascii="Arial" w:hAnsi="Arial" w:cs="Arial"/>
          <w:color w:val="010000"/>
          <w:sz w:val="20"/>
        </w:rPr>
        <w:t xml:space="preserve">On January 30, 2024, An </w:t>
      </w:r>
      <w:proofErr w:type="spellStart"/>
      <w:r w:rsidRPr="00187CDF">
        <w:rPr>
          <w:rFonts w:ascii="Arial" w:hAnsi="Arial" w:cs="Arial"/>
          <w:color w:val="010000"/>
          <w:sz w:val="20"/>
        </w:rPr>
        <w:t>Binh</w:t>
      </w:r>
      <w:proofErr w:type="spellEnd"/>
      <w:r w:rsidRPr="00187CDF">
        <w:rPr>
          <w:rFonts w:ascii="Arial" w:hAnsi="Arial" w:cs="Arial"/>
          <w:color w:val="010000"/>
          <w:sz w:val="20"/>
        </w:rPr>
        <w:t xml:space="preserve"> Commercial Joint Stock Bank (ABBANK) periodically discloses information on the Corporate Governance Report 2023. However, due to negligence </w:t>
      </w:r>
      <w:r w:rsidR="00980897">
        <w:rPr>
          <w:rFonts w:ascii="Arial" w:hAnsi="Arial" w:cs="Arial"/>
          <w:color w:val="010000"/>
          <w:sz w:val="20"/>
        </w:rPr>
        <w:t>during the drafting and review of inaccuracies</w:t>
      </w:r>
      <w:r w:rsidRPr="00187CDF">
        <w:rPr>
          <w:rFonts w:ascii="Arial" w:hAnsi="Arial" w:cs="Arial"/>
          <w:color w:val="010000"/>
          <w:sz w:val="20"/>
        </w:rPr>
        <w:t xml:space="preserve"> of the </w:t>
      </w:r>
      <w:r w:rsidR="00E578B1" w:rsidRPr="00187CDF">
        <w:rPr>
          <w:rFonts w:ascii="Arial" w:hAnsi="Arial" w:cs="Arial"/>
          <w:color w:val="010000"/>
          <w:sz w:val="20"/>
        </w:rPr>
        <w:t xml:space="preserve">Annual </w:t>
      </w:r>
      <w:r w:rsidRPr="00187CDF">
        <w:rPr>
          <w:rFonts w:ascii="Arial" w:hAnsi="Arial" w:cs="Arial"/>
          <w:color w:val="010000"/>
          <w:sz w:val="20"/>
        </w:rPr>
        <w:t>Corporate Governance Report 2023, ABBANK would like to correct the content as follows: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1"/>
        <w:gridCol w:w="4546"/>
      </w:tblGrid>
      <w:tr w:rsidR="00F37B8F" w:rsidRPr="00187CDF" w14:paraId="346C2DD1" w14:textId="77777777" w:rsidTr="00DA3C3F">
        <w:tc>
          <w:tcPr>
            <w:tcW w:w="2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0CF85" w14:textId="77777777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Content before correction</w:t>
            </w:r>
          </w:p>
        </w:tc>
        <w:tc>
          <w:tcPr>
            <w:tcW w:w="2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5F2B0" w14:textId="77777777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Content after correction</w:t>
            </w:r>
          </w:p>
        </w:tc>
      </w:tr>
      <w:tr w:rsidR="00F37B8F" w:rsidRPr="00187CDF" w14:paraId="633461A8" w14:textId="77777777" w:rsidTr="00DA3C3F">
        <w:tc>
          <w:tcPr>
            <w:tcW w:w="2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689A3" w14:textId="77777777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Charter capital: VND 1,035,036,762,000</w:t>
            </w:r>
          </w:p>
        </w:tc>
        <w:tc>
          <w:tcPr>
            <w:tcW w:w="2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AFC79" w14:textId="77777777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 xml:space="preserve">Charter capital: VND 10,350,367,620,000 </w:t>
            </w:r>
          </w:p>
        </w:tc>
      </w:tr>
      <w:tr w:rsidR="00F37B8F" w:rsidRPr="00187CDF" w14:paraId="1E27152D" w14:textId="77777777" w:rsidTr="00DA3C3F">
        <w:tc>
          <w:tcPr>
            <w:tcW w:w="2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3509B" w14:textId="54EA8B79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 xml:space="preserve">Transactions of </w:t>
            </w:r>
            <w:r w:rsidR="00980897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187CDF">
              <w:rPr>
                <w:rFonts w:ascii="Arial" w:hAnsi="Arial" w:cs="Arial"/>
                <w:color w:val="010000"/>
                <w:sz w:val="20"/>
              </w:rPr>
              <w:t xml:space="preserve"> persons of PDMR to the Company’s shares:</w:t>
            </w:r>
          </w:p>
          <w:p w14:paraId="0D883DB4" w14:textId="77777777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 xml:space="preserve">Dinh Hong </w:t>
            </w:r>
            <w:proofErr w:type="spellStart"/>
            <w:r w:rsidRPr="00187CDF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  <w:r w:rsidRPr="00187CDF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3EB3CB60" w14:textId="77777777" w:rsidR="00F37B8F" w:rsidRPr="00187CDF" w:rsidRDefault="00DA3C3F" w:rsidP="00DA3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Number of shares owned at the end of the period: 1,760</w:t>
            </w:r>
          </w:p>
          <w:p w14:paraId="128E096E" w14:textId="77777777" w:rsidR="00F37B8F" w:rsidRPr="00187CDF" w:rsidRDefault="00DA3C3F" w:rsidP="00DA3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Reason for increase/decrease: Purchase 1,600 shares, receive a bonus of 160 shares</w:t>
            </w:r>
          </w:p>
        </w:tc>
        <w:tc>
          <w:tcPr>
            <w:tcW w:w="2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C757C" w14:textId="36F83C87" w:rsidR="00F37B8F" w:rsidRPr="00187CDF" w:rsidRDefault="00980897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Transactions of related</w:t>
            </w:r>
            <w:r w:rsidR="00DA3C3F" w:rsidRPr="00187CDF">
              <w:rPr>
                <w:rFonts w:ascii="Arial" w:hAnsi="Arial" w:cs="Arial"/>
                <w:color w:val="010000"/>
                <w:sz w:val="20"/>
              </w:rPr>
              <w:t xml:space="preserve"> persons of PDMR to the Company’s shares:</w:t>
            </w:r>
          </w:p>
          <w:p w14:paraId="6F03FC8C" w14:textId="77777777" w:rsidR="00F37B8F" w:rsidRPr="00187CDF" w:rsidRDefault="00DA3C3F" w:rsidP="00DA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 xml:space="preserve">Dinh Hong </w:t>
            </w:r>
            <w:proofErr w:type="spellStart"/>
            <w:r w:rsidRPr="00187CDF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  <w:r w:rsidRPr="00187CDF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06FC7349" w14:textId="77777777" w:rsidR="00F37B8F" w:rsidRPr="00187CDF" w:rsidRDefault="00DA3C3F" w:rsidP="00DA3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Number of shares owned at the end of the period: 0</w:t>
            </w:r>
          </w:p>
          <w:p w14:paraId="1DDF64B4" w14:textId="77777777" w:rsidR="00F37B8F" w:rsidRPr="00187CDF" w:rsidRDefault="00DA3C3F" w:rsidP="00DA3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7CDF">
              <w:rPr>
                <w:rFonts w:ascii="Arial" w:hAnsi="Arial" w:cs="Arial"/>
                <w:color w:val="010000"/>
                <w:sz w:val="20"/>
              </w:rPr>
              <w:t>Reason for increase/decrease: Purchase 1,600 shares, receive a bonus 160 shares and sell 1,760 shares during the period</w:t>
            </w:r>
          </w:p>
        </w:tc>
      </w:tr>
    </w:tbl>
    <w:p w14:paraId="5C641346" w14:textId="1AAF5F31" w:rsidR="00F37B8F" w:rsidRPr="00187CDF" w:rsidRDefault="00DA3C3F" w:rsidP="00DA3C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7CDF">
        <w:rPr>
          <w:rFonts w:ascii="Arial" w:hAnsi="Arial" w:cs="Arial"/>
          <w:color w:val="010000"/>
          <w:sz w:val="20"/>
        </w:rPr>
        <w:t xml:space="preserve">And a number of errors related to approval in the 2 Appendices attached to the Report. Correcting information is to ensure the information is accurate </w:t>
      </w:r>
      <w:r w:rsidR="00980897">
        <w:rPr>
          <w:rFonts w:ascii="Arial" w:hAnsi="Arial" w:cs="Arial"/>
          <w:color w:val="010000"/>
          <w:sz w:val="20"/>
        </w:rPr>
        <w:t>as per</w:t>
      </w:r>
      <w:bookmarkStart w:id="1" w:name="_GoBack"/>
      <w:bookmarkEnd w:id="1"/>
      <w:r w:rsidRPr="00187CDF">
        <w:rPr>
          <w:rFonts w:ascii="Arial" w:hAnsi="Arial" w:cs="Arial"/>
          <w:color w:val="010000"/>
          <w:sz w:val="20"/>
        </w:rPr>
        <w:t xml:space="preserve"> regulations.</w:t>
      </w:r>
    </w:p>
    <w:p w14:paraId="0644398D" w14:textId="398108DE" w:rsidR="00F37B8F" w:rsidRPr="00187CDF" w:rsidRDefault="00DA3C3F" w:rsidP="00DA3C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7CDF">
        <w:rPr>
          <w:rFonts w:ascii="Arial" w:hAnsi="Arial" w:cs="Arial"/>
          <w:color w:val="010000"/>
          <w:sz w:val="20"/>
        </w:rPr>
        <w:t xml:space="preserve">Full text of the adjustment document of ABBANK's </w:t>
      </w:r>
      <w:r w:rsidR="00E578B1" w:rsidRPr="00187CDF">
        <w:rPr>
          <w:rFonts w:ascii="Arial" w:hAnsi="Arial" w:cs="Arial"/>
          <w:color w:val="010000"/>
          <w:sz w:val="20"/>
        </w:rPr>
        <w:t xml:space="preserve">Annual </w:t>
      </w:r>
      <w:r w:rsidRPr="00187CDF">
        <w:rPr>
          <w:rFonts w:ascii="Arial" w:hAnsi="Arial" w:cs="Arial"/>
          <w:color w:val="010000"/>
          <w:sz w:val="20"/>
        </w:rPr>
        <w:t xml:space="preserve">Corporate Governance Report 2023 is published on ABBANK's website dated February 02, 2024 at the link: </w:t>
      </w:r>
      <w:hyperlink r:id="rId6">
        <w:r w:rsidRPr="00187CDF">
          <w:rPr>
            <w:rFonts w:ascii="Arial" w:hAnsi="Arial" w:cs="Arial"/>
            <w:color w:val="010000"/>
            <w:sz w:val="20"/>
          </w:rPr>
          <w:t>https://abbank.vn/</w:t>
        </w:r>
      </w:hyperlink>
    </w:p>
    <w:sectPr w:rsidR="00F37B8F" w:rsidRPr="00187CDF" w:rsidSect="00DA3C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BD1"/>
    <w:multiLevelType w:val="multilevel"/>
    <w:tmpl w:val="01AECF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F"/>
    <w:rsid w:val="00187CDF"/>
    <w:rsid w:val="00980897"/>
    <w:rsid w:val="00DA3C3F"/>
    <w:rsid w:val="00E20371"/>
    <w:rsid w:val="00E578B1"/>
    <w:rsid w:val="00F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9E2E"/>
  <w15:docId w15:val="{593DFF62-98AD-4CB1-BB27-4C94AFC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568D9C"/>
      <w:sz w:val="46"/>
      <w:szCs w:val="4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color w:val="BE6766"/>
      <w:sz w:val="24"/>
      <w:szCs w:val="2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EECF5"/>
      <w:sz w:val="15"/>
      <w:szCs w:val="15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b w:val="0"/>
      <w:bCs w:val="0"/>
      <w:i w:val="0"/>
      <w:iCs w:val="0"/>
      <w:smallCaps w:val="0"/>
      <w:strike w:val="0"/>
      <w:color w:val="FEFE65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000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color w:val="568D9C"/>
      <w:sz w:val="46"/>
      <w:szCs w:val="46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19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05" w:lineRule="auto"/>
      <w:ind w:firstLine="190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Arial" w:eastAsia="Arial" w:hAnsi="Arial" w:cs="Arial"/>
      <w:color w:val="BE676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u30">
    <w:name w:val="Tiêu đề #3"/>
    <w:basedOn w:val="Normal"/>
    <w:link w:val="Tiu3"/>
    <w:pPr>
      <w:spacing w:line="336" w:lineRule="auto"/>
      <w:ind w:left="820" w:firstLine="3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CEECF5"/>
      <w:sz w:val="15"/>
      <w:szCs w:val="15"/>
    </w:rPr>
  </w:style>
  <w:style w:type="paragraph" w:customStyle="1" w:styleId="Vnbnnidung60">
    <w:name w:val="Văn bản nội dung (6)"/>
    <w:basedOn w:val="Normal"/>
    <w:link w:val="Vnbnnidung6"/>
    <w:pPr>
      <w:ind w:left="1320"/>
    </w:pPr>
    <w:rPr>
      <w:color w:val="FEFE65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D0000"/>
      <w:sz w:val="15"/>
      <w:szCs w:val="15"/>
    </w:rPr>
  </w:style>
  <w:style w:type="paragraph" w:customStyle="1" w:styleId="Vnbnnidung30">
    <w:name w:val="Văn bản nội dung (3)"/>
    <w:basedOn w:val="Normal"/>
    <w:link w:val="Vnbnnidung3"/>
    <w:pPr>
      <w:ind w:firstLine="340"/>
    </w:pPr>
    <w:rPr>
      <w:rFonts w:ascii="Arial" w:eastAsia="Arial" w:hAnsi="Arial" w:cs="Arial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bank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C+RNI6W2M/+0/W4or2cEl+ri/Q==">CgMxLjAyCGguZ2pkZ3hzOAByITFDbTc1WG5LSzNoaHpfcXdLRXBmd3JsQWE3WER2b1oxMA==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2024-02-07T03:00:00Z</dcterms:created>
  <dcterms:modified xsi:type="dcterms:W3CDTF">2024-02-07T03:00:00Z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d095b7fc6146f0a6d391b9f281694da0bdf2f9c06e9b4a37ed721fb65f375cfc</vt:lpwstr>
  </property>
</Properties>
</file>