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5E1E" w14:textId="77777777" w:rsidR="006E6FFC" w:rsidRPr="00285799" w:rsidRDefault="00AF052E" w:rsidP="004817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5799">
        <w:rPr>
          <w:rFonts w:ascii="Arial" w:hAnsi="Arial" w:cs="Arial"/>
          <w:b/>
          <w:color w:val="010000"/>
          <w:sz w:val="20"/>
          <w:szCs w:val="20"/>
        </w:rPr>
        <w:t>DST: Annual Corporate Governance Report 2023</w:t>
      </w:r>
    </w:p>
    <w:p w14:paraId="14899226" w14:textId="77777777" w:rsidR="006E6FFC" w:rsidRPr="00285799" w:rsidRDefault="00AF052E" w:rsidP="004817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On January 30, 2024, Sao Thang Long Investment Joint Stock Company announced Report No. 3001/2024/BC-DST on the corporate governance 2023 as follows: </w:t>
      </w:r>
    </w:p>
    <w:p w14:paraId="7CB868D5" w14:textId="77777777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Name of company: Sao Thang Long Investment Joint Stock </w:t>
      </w:r>
      <w:r w:rsidRPr="00285799">
        <w:rPr>
          <w:rFonts w:ascii="Arial" w:hAnsi="Arial" w:cs="Arial"/>
          <w:color w:val="010000"/>
          <w:sz w:val="20"/>
          <w:szCs w:val="20"/>
        </w:rPr>
        <w:t>Company</w:t>
      </w:r>
    </w:p>
    <w:p w14:paraId="499AB9F3" w14:textId="77777777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Head office address: No. 13 Minh Khai Street, Nguyen Du Ward, Nam Dinh City, Nam Dinh Province</w:t>
      </w:r>
    </w:p>
    <w:p w14:paraId="4FDC81CF" w14:textId="45A7ECCB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Tel: 0228 3849498              Fax: 02283939121</w:t>
      </w:r>
      <w:r w:rsidRPr="00285799">
        <w:rPr>
          <w:rFonts w:ascii="Arial" w:hAnsi="Arial" w:cs="Arial"/>
          <w:color w:val="010000"/>
          <w:sz w:val="20"/>
          <w:szCs w:val="20"/>
        </w:rPr>
        <w:tab/>
        <w:t xml:space="preserve">Email: </w:t>
      </w:r>
      <w:r w:rsidRPr="00285799">
        <w:rPr>
          <w:rFonts w:ascii="Arial" w:hAnsi="Arial" w:cs="Arial"/>
          <w:sz w:val="20"/>
          <w:szCs w:val="20"/>
        </w:rPr>
        <w:t>info@dst.vn</w:t>
      </w:r>
    </w:p>
    <w:p w14:paraId="596CB691" w14:textId="77777777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Charter capital: VND 323,000,000,000</w:t>
      </w:r>
    </w:p>
    <w:p w14:paraId="3AA4C6BF" w14:textId="77777777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Securities code: DST</w:t>
      </w:r>
    </w:p>
    <w:p w14:paraId="5E6960B5" w14:textId="77777777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Corporate Governance Model: </w:t>
      </w:r>
      <w:r w:rsidRPr="00285799">
        <w:rPr>
          <w:rFonts w:ascii="Arial" w:hAnsi="Arial" w:cs="Arial"/>
          <w:color w:val="010000"/>
          <w:sz w:val="20"/>
          <w:szCs w:val="20"/>
        </w:rPr>
        <w:t>The General Meeting of Shareholders, the Board of Directors, the Supervisory Board, and the General Manager</w:t>
      </w:r>
    </w:p>
    <w:p w14:paraId="0BAFD8FF" w14:textId="77777777" w:rsidR="006E6FFC" w:rsidRPr="00285799" w:rsidRDefault="00AF052E" w:rsidP="004817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Internal audit execution: Implemented</w:t>
      </w:r>
    </w:p>
    <w:p w14:paraId="74246EEC" w14:textId="77777777" w:rsidR="006E6FFC" w:rsidRPr="00285799" w:rsidRDefault="00AF052E" w:rsidP="0048173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Activities of the General Meeting of Shareholders:</w:t>
      </w:r>
    </w:p>
    <w:p w14:paraId="34C04E18" w14:textId="77777777" w:rsidR="006E6FFC" w:rsidRPr="00285799" w:rsidRDefault="00AF052E" w:rsidP="004817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Information about meetings and General Mandates/Decisions </w:t>
      </w:r>
      <w:r w:rsidRPr="00285799">
        <w:rPr>
          <w:rFonts w:ascii="Arial" w:hAnsi="Arial" w:cs="Arial"/>
          <w:color w:val="010000"/>
          <w:sz w:val="20"/>
          <w:szCs w:val="20"/>
        </w:rPr>
        <w:t>of the General Meeting of Shareholders (including General Mandates approved by collecting opinions via a ballot)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3587"/>
        <w:gridCol w:w="2258"/>
        <w:gridCol w:w="2256"/>
      </w:tblGrid>
      <w:tr w:rsidR="006E6FFC" w:rsidRPr="00285799" w14:paraId="65A93ECD" w14:textId="77777777">
        <w:tc>
          <w:tcPr>
            <w:tcW w:w="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0BA0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D40B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General Mandate/Decision of the General Meeting of Shareholders No.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8595C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91723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6E6FFC" w:rsidRPr="00285799" w14:paraId="6B643954" w14:textId="77777777">
        <w:tc>
          <w:tcPr>
            <w:tcW w:w="9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B3B4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EEA5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01/2023/NQ-DHDCD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0DEA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April 24, 2023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983D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Annual General Mandate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</w:tr>
    </w:tbl>
    <w:p w14:paraId="7EF8445F" w14:textId="77777777" w:rsidR="006E6FFC" w:rsidRPr="00285799" w:rsidRDefault="00AF05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The Board of Directors (Semi-annual Report)</w:t>
      </w:r>
    </w:p>
    <w:p w14:paraId="1563F044" w14:textId="77777777" w:rsidR="006E6FFC" w:rsidRPr="00285799" w:rsidRDefault="00AF05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Information about members of the Board of Directors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715"/>
        <w:gridCol w:w="1524"/>
        <w:gridCol w:w="2958"/>
        <w:gridCol w:w="1780"/>
        <w:gridCol w:w="2040"/>
      </w:tblGrid>
      <w:tr w:rsidR="006E6FFC" w:rsidRPr="00285799" w14:paraId="77485838" w14:textId="77777777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52F0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90C1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16FDA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CB92A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appointment/dismissal as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members/independent member of the Board of Directors</w:t>
            </w:r>
          </w:p>
        </w:tc>
      </w:tr>
      <w:tr w:rsidR="006E6FFC" w:rsidRPr="00285799" w14:paraId="57AF3832" w14:textId="77777777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D65FD" w14:textId="77777777" w:rsidR="006E6FFC" w:rsidRPr="00285799" w:rsidRDefault="006E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E684F" w14:textId="77777777" w:rsidR="006E6FFC" w:rsidRPr="00285799" w:rsidRDefault="006E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490E4" w14:textId="77777777" w:rsidR="006E6FFC" w:rsidRPr="00285799" w:rsidRDefault="006E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74DC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F81B0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6E6FFC" w:rsidRPr="00285799" w14:paraId="0CA4635E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BA85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6B539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Mr. Bui Viet Dung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349D0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37F0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June 29, 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C76BF" w14:textId="77777777" w:rsidR="006E6FFC" w:rsidRPr="00285799" w:rsidRDefault="006E6F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6FFC" w:rsidRPr="00285799" w14:paraId="5B0245EE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4C8C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7DDB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Mr. Nguyen Duc Hieu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009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024D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July 26, 2021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1A48C" w14:textId="77777777" w:rsidR="006E6FFC" w:rsidRPr="00285799" w:rsidRDefault="006E6F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6FFC" w:rsidRPr="00285799" w14:paraId="5F98B354" w14:textId="7777777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1A8B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1FB2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Mr. Tran Minh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 Tuan.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CC10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Independent members of the Board of Directors/ Non-executive members of the Board of Directors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57E1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March 21, 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2DE58" w14:textId="77777777" w:rsidR="006E6FFC" w:rsidRPr="00285799" w:rsidRDefault="006E6F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02483CC" w14:textId="77777777" w:rsidR="006E6FFC" w:rsidRPr="00285799" w:rsidRDefault="00AF05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lastRenderedPageBreak/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2591"/>
        <w:gridCol w:w="1555"/>
        <w:gridCol w:w="4023"/>
      </w:tblGrid>
      <w:tr w:rsidR="006E6FFC" w:rsidRPr="00285799" w14:paraId="0D2D333A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0DA4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21C2D" w14:textId="025C6EA6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 w:rsidR="00285799">
              <w:rPr>
                <w:rFonts w:ascii="Arial" w:hAnsi="Arial" w:cs="Arial"/>
                <w:color w:val="010000"/>
                <w:sz w:val="20"/>
                <w:szCs w:val="20"/>
              </w:rPr>
              <w:t>Board</w:t>
            </w:r>
            <w:r w:rsidR="00285799">
              <w:rPr>
                <w:rFonts w:ascii="Arial" w:hAnsi="Arial" w:cs="Arial"/>
                <w:color w:val="010000"/>
                <w:sz w:val="20"/>
                <w:szCs w:val="20"/>
                <w:lang w:val="vi-VN"/>
              </w:rPr>
              <w:t xml:space="preserve">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Decision No.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FB868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2337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</w:tr>
      <w:tr w:rsidR="006E6FFC" w:rsidRPr="00285799" w14:paraId="56FA4D39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2E72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99329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1201/2023/NQ-HDQT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F723F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January 12, 2023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EB960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Change the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Company’s Chief Accountant</w:t>
            </w:r>
          </w:p>
        </w:tc>
      </w:tr>
      <w:tr w:rsidR="006E6FFC" w:rsidRPr="00285799" w14:paraId="6A4647E5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16A22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0D96E" w14:textId="56340A33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2702/2023/NQ-HDQT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2116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February 27, 2023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257FC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Approve the plan to organize the Annual General Meeting of Shareholders 2023</w:t>
            </w:r>
          </w:p>
        </w:tc>
      </w:tr>
      <w:tr w:rsidR="006E6FFC" w:rsidRPr="00285799" w14:paraId="52C0F64A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104D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488F9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1804/QD- HDQT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78782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April 18, 2023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651E8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Promulgate the Work Regulations at the Annual General Meeting of Shareholders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2023.</w:t>
            </w:r>
          </w:p>
        </w:tc>
      </w:tr>
      <w:tr w:rsidR="006E6FFC" w:rsidRPr="00285799" w14:paraId="48D5771D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559E3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092D6" w14:textId="25783A4B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2404/2023/NQ-HDQT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DFB9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April 24, 2023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91C7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Withdraw the dossier of private share offerings to increase charter capital</w:t>
            </w:r>
          </w:p>
        </w:tc>
      </w:tr>
      <w:tr w:rsidR="006E6FFC" w:rsidRPr="00285799" w14:paraId="54ECBEF5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77FB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CA477" w14:textId="10611B14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3105/2023/QD-HDQT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E202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4577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Transfer shares of </w:t>
            </w:r>
            <w:proofErr w:type="spellStart"/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Vinaconex</w:t>
            </w:r>
            <w:proofErr w:type="spellEnd"/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 Trading Development Joint Stock Company (VCDT)</w:t>
            </w:r>
          </w:p>
        </w:tc>
      </w:tr>
      <w:tr w:rsidR="006E6FFC" w:rsidRPr="00285799" w14:paraId="1BE575B8" w14:textId="77777777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69C7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D4472" w14:textId="22F1C189" w:rsidR="006E6FFC" w:rsidRPr="000602B4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1310/2023/QD-</w:t>
            </w:r>
            <w:r w:rsidR="000602B4">
              <w:rPr>
                <w:rFonts w:ascii="Arial" w:hAnsi="Arial" w:cs="Arial"/>
                <w:color w:val="010000"/>
                <w:sz w:val="20"/>
                <w:szCs w:val="20"/>
              </w:rPr>
              <w:t>DS</w:t>
            </w:r>
            <w:r w:rsidR="000602B4">
              <w:rPr>
                <w:rFonts w:ascii="Arial" w:hAnsi="Arial" w:cs="Arial"/>
                <w:color w:val="010000"/>
                <w:sz w:val="20"/>
                <w:szCs w:val="20"/>
                <w:lang w:val="vi-VN"/>
              </w:rPr>
              <w:t>T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77A4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October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13, 2023</w:t>
            </w:r>
          </w:p>
        </w:tc>
        <w:tc>
          <w:tcPr>
            <w:tcW w:w="4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A6D0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Change the Head of Ha </w:t>
            </w:r>
            <w:proofErr w:type="spellStart"/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Noi</w:t>
            </w:r>
            <w:proofErr w:type="spellEnd"/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 Branch of the Company</w:t>
            </w:r>
          </w:p>
        </w:tc>
      </w:tr>
    </w:tbl>
    <w:p w14:paraId="4CE1D4F5" w14:textId="77777777" w:rsidR="006E6FFC" w:rsidRPr="00285799" w:rsidRDefault="00AF05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The Supervisory Board/ Audit Committee</w:t>
      </w:r>
    </w:p>
    <w:p w14:paraId="0EB38EED" w14:textId="77777777" w:rsidR="006E6FFC" w:rsidRPr="00285799" w:rsidRDefault="00AF05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Information about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2463"/>
        <w:gridCol w:w="1504"/>
        <w:gridCol w:w="2314"/>
        <w:gridCol w:w="2186"/>
      </w:tblGrid>
      <w:tr w:rsidR="006E6FFC" w:rsidRPr="00285799" w14:paraId="53C3AE33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EDE5C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5351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Members of the Supervisory Board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323CD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144E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appointment/dismissal as member of the Supervisory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Board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CC522" w14:textId="756DB397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6E6FFC" w:rsidRPr="00285799" w14:paraId="29EA8357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EB65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5087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Ms. Nguyen Thi Lan Huong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251D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Chief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A56B6" w14:textId="77777777" w:rsidR="006E6FFC" w:rsidRPr="00285799" w:rsidRDefault="006E6F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D412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6E6FFC" w:rsidRPr="00285799" w14:paraId="0D8250AC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D5D60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55CCF" w14:textId="7D772178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Ms. Nguyen Thi Khanh Ly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6212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2B89A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 of appointment March 21, 2022</w:t>
            </w:r>
          </w:p>
          <w:p w14:paraId="7730A0D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 of dismissal as member of the Supervisory Board April 24, 2023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7617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6E6FFC" w:rsidRPr="00285799" w14:paraId="34A7F5A9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D8C6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14FC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Mr. Nguyen Truong Son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E236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17418" w14:textId="01A4726D" w:rsidR="006E6FFC" w:rsidRPr="00B24602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  <w:r w:rsidR="00B24602">
              <w:rPr>
                <w:rFonts w:ascii="Arial" w:hAnsi="Arial" w:cs="Arial"/>
                <w:color w:val="010000"/>
                <w:sz w:val="20"/>
                <w:szCs w:val="20"/>
                <w:lang w:val="vi-VN"/>
              </w:rPr>
              <w:t xml:space="preserve">: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August 4, 2022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FADB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6E6FFC" w:rsidRPr="00285799" w14:paraId="7E9FA447" w14:textId="77777777">
        <w:tc>
          <w:tcPr>
            <w:tcW w:w="5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8267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792E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Ms. Nguyen Thi Hue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C215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86DB0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Appointment date April 24, 2023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4B34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Master</w:t>
            </w:r>
          </w:p>
        </w:tc>
      </w:tr>
    </w:tbl>
    <w:p w14:paraId="4C8B5CF4" w14:textId="77777777" w:rsidR="00E62EF4" w:rsidRPr="00E62EF4" w:rsidRDefault="00E62EF4" w:rsidP="00E62E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4D6E3C31" w14:textId="371F72FE" w:rsidR="006E6FFC" w:rsidRPr="00285799" w:rsidRDefault="00AF05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lastRenderedPageBreak/>
        <w:t>The 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467"/>
        <w:gridCol w:w="1636"/>
        <w:gridCol w:w="2132"/>
        <w:gridCol w:w="1977"/>
      </w:tblGrid>
      <w:tr w:rsidR="006E6FFC" w:rsidRPr="00285799" w14:paraId="74450A2B" w14:textId="77777777">
        <w:tc>
          <w:tcPr>
            <w:tcW w:w="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7FC25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0D0D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Members of the Executive Board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880D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68A36" w14:textId="23D698F5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9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0FBB4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6E6FFC" w:rsidRPr="00285799" w14:paraId="429074DB" w14:textId="77777777">
        <w:tc>
          <w:tcPr>
            <w:tcW w:w="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41566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5B49D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Mr. Bui </w:t>
            </w: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Viet Dung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E943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December 9, 1981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A0AFA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9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1A053" w14:textId="50948007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Appointed on: August 4, 2021</w:t>
            </w:r>
          </w:p>
        </w:tc>
      </w:tr>
    </w:tbl>
    <w:p w14:paraId="3ADFD432" w14:textId="3C991D77" w:rsidR="006E6FFC" w:rsidRPr="00285799" w:rsidRDefault="00AF05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953"/>
        <w:gridCol w:w="2458"/>
        <w:gridCol w:w="2745"/>
      </w:tblGrid>
      <w:tr w:rsidR="006E6FFC" w:rsidRPr="00285799" w14:paraId="31C29873" w14:textId="77777777">
        <w:tc>
          <w:tcPr>
            <w:tcW w:w="18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C4573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12AF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A059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4829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</w:t>
            </w:r>
          </w:p>
        </w:tc>
      </w:tr>
      <w:tr w:rsidR="006E6FFC" w:rsidRPr="00285799" w14:paraId="31925379" w14:textId="77777777">
        <w:tc>
          <w:tcPr>
            <w:tcW w:w="18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F3318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 xml:space="preserve">Pham Thi </w:t>
            </w:r>
            <w:proofErr w:type="spellStart"/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Nhai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E5DB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March 15, 1993</w:t>
            </w:r>
          </w:p>
        </w:tc>
        <w:tc>
          <w:tcPr>
            <w:tcW w:w="2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9B6A2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047E7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Appointed on: January 24, 2022</w:t>
            </w:r>
          </w:p>
          <w:p w14:paraId="4FB36E11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Dismissal date: January 12, 2023</w:t>
            </w:r>
          </w:p>
        </w:tc>
      </w:tr>
      <w:tr w:rsidR="006E6FFC" w:rsidRPr="00285799" w14:paraId="54F494E8" w14:textId="77777777">
        <w:tc>
          <w:tcPr>
            <w:tcW w:w="18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925DE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Doan Van Cuong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E987A" w14:textId="77777777" w:rsidR="006E6FFC" w:rsidRPr="00285799" w:rsidRDefault="00A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September 12, 1979</w:t>
            </w:r>
          </w:p>
        </w:tc>
        <w:tc>
          <w:tcPr>
            <w:tcW w:w="2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7220C" w14:textId="422F3A79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486CE" w14:textId="590C2689" w:rsidR="006E6FFC" w:rsidRPr="00285799" w:rsidRDefault="00AF052E" w:rsidP="00F4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5799">
              <w:rPr>
                <w:rFonts w:ascii="Arial" w:hAnsi="Arial" w:cs="Arial"/>
                <w:color w:val="010000"/>
                <w:sz w:val="20"/>
                <w:szCs w:val="20"/>
              </w:rPr>
              <w:t>Appointed on: January 12, 2023</w:t>
            </w:r>
          </w:p>
        </w:tc>
      </w:tr>
    </w:tbl>
    <w:p w14:paraId="46015CBA" w14:textId="77777777" w:rsidR="006E6FFC" w:rsidRPr="00285799" w:rsidRDefault="00AF052E" w:rsidP="0048173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Training on corporate governance</w:t>
      </w:r>
    </w:p>
    <w:p w14:paraId="3D4F1A3F" w14:textId="77777777" w:rsidR="006E6FFC" w:rsidRPr="00285799" w:rsidRDefault="00AF052E" w:rsidP="00481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List of affiliated persons of the public Company and transactions between the affiliated persons of the Company with the Company itself</w:t>
      </w:r>
    </w:p>
    <w:p w14:paraId="1EAEB217" w14:textId="77777777" w:rsidR="006E6FFC" w:rsidRPr="00285799" w:rsidRDefault="00AF052E" w:rsidP="004817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Transactions</w:t>
      </w:r>
      <w:r w:rsidRPr="00285799">
        <w:rPr>
          <w:rFonts w:ascii="Arial" w:hAnsi="Arial" w:cs="Arial"/>
          <w:color w:val="010000"/>
          <w:sz w:val="20"/>
          <w:szCs w:val="20"/>
        </w:rPr>
        <w:t xml:space="preserve"> between the Company and affiliated persons of the Company; or between the Company and major shareholders, PDMR, and affiliated persons of PDMR None</w:t>
      </w:r>
    </w:p>
    <w:p w14:paraId="2EF2CF9C" w14:textId="77777777" w:rsidR="006E6FFC" w:rsidRPr="00285799" w:rsidRDefault="00AF052E" w:rsidP="004817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Transactions between the Company’s PDMR, affiliated persons of PDMR and subsidiaries or companies </w:t>
      </w:r>
      <w:r w:rsidRPr="00285799">
        <w:rPr>
          <w:rFonts w:ascii="Arial" w:hAnsi="Arial" w:cs="Arial"/>
          <w:color w:val="010000"/>
          <w:sz w:val="20"/>
          <w:szCs w:val="20"/>
        </w:rPr>
        <w:t>controlled by the Company: None</w:t>
      </w:r>
    </w:p>
    <w:p w14:paraId="34135071" w14:textId="77777777" w:rsidR="006E6FFC" w:rsidRPr="00285799" w:rsidRDefault="00AF052E" w:rsidP="004817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Transactions between the Company and other entities</w:t>
      </w:r>
    </w:p>
    <w:p w14:paraId="6401BE70" w14:textId="77777777" w:rsidR="006E6FFC" w:rsidRPr="00285799" w:rsidRDefault="00AF052E" w:rsidP="004817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Transactions between the Company and companies where members of the Board of Directors, members of the Supervisory Board, the Manager (General Manager) and other managers h</w:t>
      </w:r>
      <w:r w:rsidRPr="00285799">
        <w:rPr>
          <w:rFonts w:ascii="Arial" w:hAnsi="Arial" w:cs="Arial"/>
          <w:color w:val="010000"/>
          <w:sz w:val="20"/>
          <w:szCs w:val="20"/>
        </w:rPr>
        <w:t>ave been founding members or members of the Board of Directors, the Executive Manager (General Manager) for the past three (03) years (calculated at the time of reporting):</w:t>
      </w:r>
    </w:p>
    <w:p w14:paraId="31F3C227" w14:textId="6A18770C" w:rsidR="006E6FFC" w:rsidRPr="00285799" w:rsidRDefault="00AF052E" w:rsidP="0048173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Sao Thang Long Investment Joint Stock Company leases office space to </w:t>
      </w:r>
      <w:proofErr w:type="spellStart"/>
      <w:r w:rsidRPr="00285799">
        <w:rPr>
          <w:rFonts w:ascii="Arial" w:hAnsi="Arial" w:cs="Arial"/>
          <w:color w:val="010000"/>
          <w:sz w:val="20"/>
          <w:szCs w:val="20"/>
        </w:rPr>
        <w:t>SmartInvest</w:t>
      </w:r>
      <w:proofErr w:type="spellEnd"/>
      <w:r w:rsidRPr="00285799">
        <w:rPr>
          <w:rFonts w:ascii="Arial" w:hAnsi="Arial" w:cs="Arial"/>
          <w:color w:val="010000"/>
          <w:sz w:val="20"/>
          <w:szCs w:val="20"/>
        </w:rPr>
        <w:t xml:space="preserve"> Se</w:t>
      </w:r>
      <w:r w:rsidRPr="00285799">
        <w:rPr>
          <w:rFonts w:ascii="Arial" w:hAnsi="Arial" w:cs="Arial"/>
          <w:color w:val="010000"/>
          <w:sz w:val="20"/>
          <w:szCs w:val="20"/>
        </w:rPr>
        <w:t>curities JSC</w:t>
      </w:r>
    </w:p>
    <w:p w14:paraId="6F6C287C" w14:textId="6467614D" w:rsidR="006E6FFC" w:rsidRPr="00285799" w:rsidRDefault="00AF052E" w:rsidP="004817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(i) Leased area: 102.8 m2 (ii) Rental expense (</w:t>
      </w:r>
      <w:r>
        <w:rPr>
          <w:rFonts w:ascii="Arial" w:hAnsi="Arial" w:cs="Arial"/>
          <w:color w:val="010000"/>
          <w:sz w:val="20"/>
          <w:szCs w:val="20"/>
        </w:rPr>
        <w:t>including VAT): VND 5.5 million</w:t>
      </w:r>
      <w:bookmarkStart w:id="0" w:name="_GoBack"/>
      <w:bookmarkEnd w:id="0"/>
      <w:r w:rsidRPr="00285799">
        <w:rPr>
          <w:rFonts w:ascii="Arial" w:hAnsi="Arial" w:cs="Arial"/>
          <w:color w:val="010000"/>
          <w:sz w:val="20"/>
          <w:szCs w:val="20"/>
        </w:rPr>
        <w:t xml:space="preserve"> per month (iii) Time of renting: 05 year</w:t>
      </w:r>
    </w:p>
    <w:p w14:paraId="235A007B" w14:textId="77777777" w:rsidR="006E6FFC" w:rsidRPr="00285799" w:rsidRDefault="00AF052E" w:rsidP="004817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Related relation Transactions with affiliated person of member of the Board of Directors:  Mr. Tran Minh Tuan</w:t>
      </w:r>
    </w:p>
    <w:p w14:paraId="4ED123A8" w14:textId="77777777" w:rsidR="006E6FFC" w:rsidRPr="00285799" w:rsidRDefault="00AF052E" w:rsidP="004817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 xml:space="preserve">Transactions between the Company and companies where affiliated persons of members of the </w:t>
      </w:r>
      <w:r w:rsidRPr="00285799">
        <w:rPr>
          <w:rFonts w:ascii="Arial" w:hAnsi="Arial" w:cs="Arial"/>
          <w:color w:val="010000"/>
          <w:sz w:val="20"/>
          <w:szCs w:val="20"/>
        </w:rPr>
        <w:lastRenderedPageBreak/>
        <w:t>Board of Directors, members of the Supervisory Board, the Manager (the General Manager) and other managers are members of the Board of Directors, the Executive Manage</w:t>
      </w:r>
      <w:r w:rsidRPr="00285799">
        <w:rPr>
          <w:rFonts w:ascii="Arial" w:hAnsi="Arial" w:cs="Arial"/>
          <w:color w:val="010000"/>
          <w:sz w:val="20"/>
          <w:szCs w:val="20"/>
        </w:rPr>
        <w:t>r (the General Manager). None</w:t>
      </w:r>
    </w:p>
    <w:p w14:paraId="4851CDFB" w14:textId="77777777" w:rsidR="006E6FFC" w:rsidRPr="00285799" w:rsidRDefault="00AF052E" w:rsidP="004817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Other transactions of the Company (if any) that can bring about material or non-material benefits to members of the Board of Directors, members of the Supervisory Board, the Manager (General Manager), and other managers: None</w:t>
      </w:r>
    </w:p>
    <w:p w14:paraId="0557E9E2" w14:textId="77777777" w:rsidR="006E6FFC" w:rsidRPr="00285799" w:rsidRDefault="00AF052E" w:rsidP="00481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Share transactions of PDMR and affiliated persons of PDMR</w:t>
      </w:r>
    </w:p>
    <w:p w14:paraId="18B43275" w14:textId="77777777" w:rsidR="006E6FFC" w:rsidRPr="00285799" w:rsidRDefault="00AF052E" w:rsidP="004817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Company's shares transaction of PDMR and affiliated persons: None</w:t>
      </w:r>
    </w:p>
    <w:p w14:paraId="5400848D" w14:textId="77777777" w:rsidR="006E6FFC" w:rsidRPr="00285799" w:rsidRDefault="00AF052E" w:rsidP="00481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5799">
        <w:rPr>
          <w:rFonts w:ascii="Arial" w:hAnsi="Arial" w:cs="Arial"/>
          <w:color w:val="010000"/>
          <w:sz w:val="20"/>
          <w:szCs w:val="20"/>
        </w:rPr>
        <w:t>Other significant issues: None</w:t>
      </w:r>
    </w:p>
    <w:sectPr w:rsidR="006E6FFC" w:rsidRPr="0028579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E13"/>
    <w:multiLevelType w:val="multilevel"/>
    <w:tmpl w:val="283C03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544B5E"/>
    <w:multiLevelType w:val="multilevel"/>
    <w:tmpl w:val="4E464B5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75C5B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2188D"/>
    <w:multiLevelType w:val="multilevel"/>
    <w:tmpl w:val="FE964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FAF"/>
    <w:multiLevelType w:val="multilevel"/>
    <w:tmpl w:val="A63E22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95430B"/>
    <w:multiLevelType w:val="multilevel"/>
    <w:tmpl w:val="79F655BE"/>
    <w:lvl w:ilvl="0">
      <w:start w:val="1"/>
      <w:numFmt w:val="bullet"/>
      <w:lvlText w:val="+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6714A6"/>
    <w:multiLevelType w:val="multilevel"/>
    <w:tmpl w:val="CACA55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474E9E"/>
    <w:multiLevelType w:val="hybridMultilevel"/>
    <w:tmpl w:val="8FF4F012"/>
    <w:lvl w:ilvl="0" w:tplc="9B2A12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20C2A"/>
    <w:multiLevelType w:val="multilevel"/>
    <w:tmpl w:val="A96884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8D27A4"/>
    <w:multiLevelType w:val="multilevel"/>
    <w:tmpl w:val="DAF2F27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C"/>
    <w:rsid w:val="000602B4"/>
    <w:rsid w:val="00285799"/>
    <w:rsid w:val="0048173C"/>
    <w:rsid w:val="006E6FFC"/>
    <w:rsid w:val="00AF052E"/>
    <w:rsid w:val="00B24602"/>
    <w:rsid w:val="00E62EF4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2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83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F4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83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F4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dq9FjpSg0VHgQqkBzc59na1PQ==">CgMxLjA4AHIhMUFrd253bTZWUHVvTUREa0o3Z0lHZDhTYmhsa3YzZ0h2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2024-02-05T07:37:00Z</dcterms:created>
  <dcterms:modified xsi:type="dcterms:W3CDTF">2024-02-15T08:54:00Z</dcterms:modified>
</cp:coreProperties>
</file>