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0B32" w14:textId="77777777" w:rsidR="002D7252" w:rsidRDefault="003D41F1" w:rsidP="003D41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EID: Annual Corporate Governance Report 2023</w:t>
      </w:r>
    </w:p>
    <w:p w14:paraId="1276774D" w14:textId="77777777" w:rsidR="002D7252" w:rsidRDefault="003D41F1" w:rsidP="003D41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January 31, 2024, Hanoi Education Development and Investment JSC announced Report No. 04/BC-HDQT on the corporate governance in 2023 as follows:</w:t>
      </w:r>
    </w:p>
    <w:p w14:paraId="65CB7B72" w14:textId="77777777" w:rsidR="002D7252" w:rsidRDefault="003D41F1" w:rsidP="003D41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Company: Hanoi Education Development and Investment </w:t>
      </w:r>
      <w:r>
        <w:rPr>
          <w:rFonts w:ascii="Arial" w:hAnsi="Arial"/>
          <w:sz w:val="20"/>
        </w:rPr>
        <w:t>JSC</w:t>
      </w:r>
    </w:p>
    <w:p w14:paraId="4A4BA047" w14:textId="77777777" w:rsidR="002D7252" w:rsidRDefault="003D41F1" w:rsidP="003D41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HEID Office Building, Lane 12 Lang Ha, Thanh Cong Ward, Ba Dinh District, Hanoi City. </w:t>
      </w:r>
    </w:p>
    <w:p w14:paraId="525091CB" w14:textId="56CEB03F" w:rsidR="002D7252" w:rsidRDefault="003D41F1" w:rsidP="003D41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(024) 3512.25.68</w:t>
      </w:r>
      <w:r>
        <w:rPr>
          <w:rFonts w:ascii="Arial" w:hAnsi="Arial"/>
          <w:sz w:val="20"/>
        </w:rPr>
        <w:tab/>
        <w:t xml:space="preserve">Email: </w:t>
      </w:r>
      <w:hyperlink r:id="rId7">
        <w:r>
          <w:rPr>
            <w:rFonts w:ascii="Arial" w:hAnsi="Arial"/>
            <w:sz w:val="20"/>
          </w:rPr>
          <w:t>info@heid.vn</w:t>
        </w:r>
      </w:hyperlink>
    </w:p>
    <w:p w14:paraId="77F5F5F4" w14:textId="77777777" w:rsidR="002D7252" w:rsidRDefault="003D41F1" w:rsidP="003D41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150,000,000,000</w:t>
      </w:r>
    </w:p>
    <w:p w14:paraId="31E99058" w14:textId="77777777" w:rsidR="002D7252" w:rsidRDefault="003D41F1" w:rsidP="003D41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EID</w:t>
      </w:r>
    </w:p>
    <w:p w14:paraId="68535FCD" w14:textId="77777777" w:rsidR="002D7252" w:rsidRDefault="003D41F1" w:rsidP="003D41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 The General Meeting of Shareholders, the Board of Directors, the Supervisory Board, and the General Manager.</w:t>
      </w:r>
    </w:p>
    <w:p w14:paraId="618F2186" w14:textId="77777777" w:rsidR="002D7252" w:rsidRDefault="003D41F1" w:rsidP="003D41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 execution: Implemented.</w:t>
      </w:r>
    </w:p>
    <w:p w14:paraId="4B05FAA7" w14:textId="77777777" w:rsidR="002D7252" w:rsidRDefault="003D41F1" w:rsidP="003D41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General Meeting of Shareholders</w:t>
      </w:r>
    </w:p>
    <w:p w14:paraId="3F6DC4DD" w14:textId="77777777" w:rsidR="002D7252" w:rsidRDefault="003D41F1" w:rsidP="003D41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Meetings and</w:t>
      </w:r>
      <w:r>
        <w:rPr>
          <w:rFonts w:ascii="Arial" w:hAnsi="Arial"/>
          <w:sz w:val="20"/>
        </w:rPr>
        <w:t xml:space="preserve"> General Mandates/Decisions of the General Meeting of Shareholders (including General Mandates approved by collecting opinions via a ballot):</w:t>
      </w:r>
    </w:p>
    <w:tbl>
      <w:tblPr>
        <w:tblStyle w:val="a"/>
        <w:tblW w:w="9019" w:type="dxa"/>
        <w:tblLayout w:type="fixed"/>
        <w:tblLook w:val="0400" w:firstRow="0" w:lastRow="0" w:firstColumn="0" w:lastColumn="0" w:noHBand="0" w:noVBand="1"/>
      </w:tblPr>
      <w:tblGrid>
        <w:gridCol w:w="768"/>
        <w:gridCol w:w="1676"/>
        <w:gridCol w:w="1160"/>
        <w:gridCol w:w="5415"/>
      </w:tblGrid>
      <w:tr w:rsidR="002D7252" w14:paraId="21C88B38" w14:textId="77777777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26373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221062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 of the General Meeting of Shareholders No.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F609F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E935F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2D7252" w14:paraId="436E9161" w14:textId="77777777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919D3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481CF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05/NQ-DHDCD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8C2A7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21, 2023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F45DEF1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Report on activities of the Board of Directors in 2022 and the operational plan 2023.</w:t>
            </w:r>
          </w:p>
          <w:p w14:paraId="06867083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Report of the Board of Management on the production and business results in 2022 and 2023 plan.</w:t>
            </w:r>
          </w:p>
          <w:p w14:paraId="6E970477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Report on activities of the </w:t>
            </w:r>
            <w:r>
              <w:rPr>
                <w:rFonts w:ascii="Arial" w:hAnsi="Arial"/>
                <w:sz w:val="20"/>
              </w:rPr>
              <w:t>Supervisory Board in 2022 and the operational plan 2023.</w:t>
            </w:r>
          </w:p>
          <w:p w14:paraId="32932FE2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Audited Separate and Consolidated Financial Statements 2022</w:t>
            </w:r>
          </w:p>
          <w:p w14:paraId="53A0C53F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profit distribution plan 2022 and 2023 plan.</w:t>
            </w:r>
          </w:p>
          <w:p w14:paraId="59BBDB0D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dividend payment in cash in 2022</w:t>
            </w:r>
          </w:p>
          <w:p w14:paraId="16CF6169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</w:t>
            </w:r>
            <w:r>
              <w:rPr>
                <w:rFonts w:ascii="Arial" w:hAnsi="Arial"/>
                <w:sz w:val="20"/>
              </w:rPr>
              <w:t>Proposal on the remuneration for the Board of Directors and the Supervisory Board in 2022 and 2023 plan.</w:t>
            </w:r>
          </w:p>
          <w:p w14:paraId="2CD8AAE6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Approve the Proposal on the amendment and supplement to the </w:t>
            </w:r>
            <w:proofErr w:type="spellStart"/>
            <w:r>
              <w:rPr>
                <w:rFonts w:ascii="Arial" w:hAnsi="Arial"/>
                <w:sz w:val="20"/>
              </w:rPr>
              <w:t>the</w:t>
            </w:r>
            <w:proofErr w:type="spellEnd"/>
            <w:r>
              <w:rPr>
                <w:rFonts w:ascii="Arial" w:hAnsi="Arial"/>
                <w:sz w:val="20"/>
              </w:rPr>
              <w:t xml:space="preserve"> Company's list of business lines.</w:t>
            </w:r>
          </w:p>
          <w:p w14:paraId="0F210469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amendment and supplement to the Company's</w:t>
            </w:r>
            <w:r>
              <w:rPr>
                <w:rFonts w:ascii="Arial" w:hAnsi="Arial"/>
                <w:sz w:val="20"/>
              </w:rPr>
              <w:t xml:space="preserve"> Charter on organization and operation.</w:t>
            </w:r>
          </w:p>
          <w:p w14:paraId="00B2F53C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amendment and supplement to the internal regulations on corporate governance, operating regulations of the Board of Directors, and operating regulations of the Supervisory Board.</w:t>
            </w:r>
          </w:p>
          <w:p w14:paraId="6C769E0A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contracts and</w:t>
            </w:r>
            <w:r>
              <w:rPr>
                <w:rFonts w:ascii="Arial" w:hAnsi="Arial"/>
                <w:sz w:val="20"/>
              </w:rPr>
              <w:t xml:space="preserve"> transactions between Hanoi Education Development and Investment JSC and Viet Nam Education Publishing House Limited Company.</w:t>
            </w:r>
          </w:p>
          <w:p w14:paraId="1D99DC06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the selection of an independent audit company to audit the Financial Statements 2023.</w:t>
            </w:r>
          </w:p>
          <w:p w14:paraId="329A90E5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dismissal of Ms. Nguyen Thi Thanh Thuy from the position of member of the Board of Directors</w:t>
            </w:r>
          </w:p>
          <w:p w14:paraId="6EB57C4D" w14:textId="77777777" w:rsidR="002D7252" w:rsidRDefault="003D41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election of one member of the Board of Directors for the term 2022-2027 The elected person is Ms. Nguyen Thi Ngoc Linh.</w:t>
            </w:r>
          </w:p>
        </w:tc>
      </w:tr>
      <w:tr w:rsidR="002D7252" w14:paraId="003B7BAA" w14:textId="77777777">
        <w:trPr>
          <w:trHeight w:val="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CC166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83161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08/NQ-DHDCD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F2AF65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May </w:t>
            </w:r>
            <w:r>
              <w:rPr>
                <w:rFonts w:ascii="Arial" w:hAnsi="Arial"/>
                <w:sz w:val="20"/>
              </w:rPr>
              <w:t>31, 2023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B3F7D0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amendment of the dividend payment time in 2022.</w:t>
            </w:r>
          </w:p>
          <w:p w14:paraId="6DAC2605" w14:textId="77777777" w:rsidR="002D7252" w:rsidRDefault="002D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03E754" w14:textId="77777777" w:rsidR="002D7252" w:rsidRDefault="003D41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</w:t>
      </w:r>
    </w:p>
    <w:p w14:paraId="01CE2856" w14:textId="77777777" w:rsidR="002D7252" w:rsidRDefault="003D41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</w:t>
      </w:r>
    </w:p>
    <w:tbl>
      <w:tblPr>
        <w:tblStyle w:val="a0"/>
        <w:tblW w:w="9019" w:type="dxa"/>
        <w:tblLayout w:type="fixed"/>
        <w:tblLook w:val="0400" w:firstRow="0" w:lastRow="0" w:firstColumn="0" w:lastColumn="0" w:noHBand="0" w:noVBand="1"/>
      </w:tblPr>
      <w:tblGrid>
        <w:gridCol w:w="612"/>
        <w:gridCol w:w="3059"/>
        <w:gridCol w:w="1319"/>
        <w:gridCol w:w="2121"/>
        <w:gridCol w:w="1908"/>
      </w:tblGrid>
      <w:tr w:rsidR="002D7252" w14:paraId="32ADBAC6" w14:textId="77777777">
        <w:trPr>
          <w:trHeight w:val="99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EE0A2C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0923F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B6106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A100E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Date of appointment/dismissal as member of the Board of </w:t>
            </w:r>
            <w:r>
              <w:rPr>
                <w:rFonts w:ascii="Arial" w:hAnsi="Arial"/>
                <w:sz w:val="20"/>
              </w:rPr>
              <w:t>Directors</w:t>
            </w:r>
          </w:p>
        </w:tc>
      </w:tr>
      <w:tr w:rsidR="002D7252" w14:paraId="7F5030BD" w14:textId="77777777">
        <w:trPr>
          <w:trHeight w:val="466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E31D17" w14:textId="77777777" w:rsidR="002D7252" w:rsidRDefault="002D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DFC90F" w14:textId="77777777" w:rsidR="002D7252" w:rsidRDefault="002D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3105C9" w14:textId="77777777" w:rsidR="002D7252" w:rsidRDefault="002D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3B7D8D9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F06B4B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2D7252" w14:paraId="3101DF5A" w14:textId="77777777">
        <w:trPr>
          <w:trHeight w:val="3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26AB57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2BFE11C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Chi Binh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62BAAF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Chair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44A9D9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D8DB913" w14:textId="77777777" w:rsidR="002D7252" w:rsidRDefault="002D72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7252" w14:paraId="75EEF880" w14:textId="77777777">
        <w:trPr>
          <w:trHeight w:val="3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FE2442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5E734D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 Thanh Anh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07A1B9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781B97D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6B5C262" w14:textId="77777777" w:rsidR="002D7252" w:rsidRDefault="002D72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7252" w14:paraId="0A21E7F0" w14:textId="77777777">
        <w:trPr>
          <w:trHeight w:val="3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BC02A9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62F498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Duong Thi Viet Ha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F25D74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9C0A0F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DEB622B" w14:textId="77777777" w:rsidR="002D7252" w:rsidRDefault="002D72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7252" w14:paraId="4F8D15DE" w14:textId="77777777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1CB8D45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8F77AE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Duy Hung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333D99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DCEE13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4A2AB28" w14:textId="77777777" w:rsidR="002D7252" w:rsidRDefault="002D72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7252" w14:paraId="5FECDF63" w14:textId="77777777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28CB48C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F742F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Thanh Thuy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D0CAFC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707E37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March 31, </w:t>
            </w: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4AD1AE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21, 2023</w:t>
            </w:r>
          </w:p>
        </w:tc>
      </w:tr>
      <w:tr w:rsidR="002D7252" w14:paraId="309E1719" w14:textId="77777777">
        <w:trPr>
          <w:trHeight w:val="37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42B4E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322D6E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Ngoc Linh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A9A9B8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84E6F4D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21, 2023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10B936" w14:textId="77777777" w:rsidR="002D7252" w:rsidRDefault="002D72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A204B7" w14:textId="77777777" w:rsidR="003D41F1" w:rsidRPr="003D41F1" w:rsidRDefault="003D41F1" w:rsidP="003D41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BE8E2B0" w14:textId="2BAB8BEB" w:rsidR="002D7252" w:rsidRDefault="003D41F1" w:rsidP="00294F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Board Resolutions/</w:t>
      </w:r>
      <w:r w:rsidR="00CE79A1">
        <w:rPr>
          <w:rFonts w:ascii="Arial" w:hAnsi="Arial"/>
          <w:sz w:val="20"/>
          <w:lang w:val="vi-VN"/>
        </w:rPr>
        <w:t xml:space="preserve">Board </w:t>
      </w:r>
      <w:r>
        <w:rPr>
          <w:rFonts w:ascii="Arial" w:hAnsi="Arial"/>
          <w:sz w:val="20"/>
        </w:rPr>
        <w:t>Decisions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1270"/>
        <w:gridCol w:w="1127"/>
        <w:gridCol w:w="5922"/>
      </w:tblGrid>
      <w:tr w:rsidR="002D7252" w14:paraId="7FF563E5" w14:textId="77777777">
        <w:trPr>
          <w:trHeight w:val="1118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4D542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A22A5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 No.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3E50A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A8C75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2D7252" w14:paraId="29CBCFF6" w14:textId="77777777">
        <w:trPr>
          <w:trHeight w:val="826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0646F9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FDD7ED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57194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10,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7099D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personnel work of the Company</w:t>
            </w:r>
          </w:p>
        </w:tc>
      </w:tr>
      <w:tr w:rsidR="002D7252" w14:paraId="6123138B" w14:textId="77777777">
        <w:trPr>
          <w:trHeight w:val="970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F5E30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12D15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F5DBF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24,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</w:tcPr>
          <w:p w14:paraId="7505232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</w:t>
            </w:r>
            <w:r>
              <w:rPr>
                <w:rFonts w:ascii="Arial" w:hAnsi="Arial"/>
                <w:sz w:val="20"/>
              </w:rPr>
              <w:t xml:space="preserve"> organization of the Annual General Meeting of Shareholders 2023.</w:t>
            </w:r>
          </w:p>
        </w:tc>
      </w:tr>
      <w:tr w:rsidR="002D7252" w14:paraId="247C524A" w14:textId="77777777">
        <w:trPr>
          <w:trHeight w:val="965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B19D2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E5C87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48500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</w:tcPr>
          <w:p w14:paraId="0832EB5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draft documents of the Annual General Meeting of Shareholders 2023</w:t>
            </w:r>
          </w:p>
        </w:tc>
      </w:tr>
      <w:tr w:rsidR="002D7252" w14:paraId="66974B71" w14:textId="77777777">
        <w:trPr>
          <w:trHeight w:val="955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6DA2E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0EAA0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9DC2A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18,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</w:tcPr>
          <w:p w14:paraId="59427BE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amendment and supplement to the Company's</w:t>
            </w:r>
            <w:r>
              <w:rPr>
                <w:rFonts w:ascii="Arial" w:hAnsi="Arial"/>
                <w:sz w:val="20"/>
              </w:rPr>
              <w:t xml:space="preserve"> Charter on Operation of Hong Ha Thanh Cong One Member Company Limited</w:t>
            </w:r>
          </w:p>
        </w:tc>
      </w:tr>
      <w:tr w:rsidR="002D7252" w14:paraId="65535374" w14:textId="77777777">
        <w:trPr>
          <w:trHeight w:val="1402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360CA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5917F3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CA8BE5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</w:tcPr>
          <w:p w14:paraId="3A65900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record date for the list of shareholders to collect shareholders’ opinions via a ballot to amend the dividend payment time in 2022</w:t>
            </w:r>
          </w:p>
        </w:tc>
      </w:tr>
      <w:tr w:rsidR="002D7252" w14:paraId="5AEEAD6E" w14:textId="77777777">
        <w:trPr>
          <w:trHeight w:val="1128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B56D1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271765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B96A3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15,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2B8DE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content to collect shareholders’ opinions via a ballot to amend the dividend payment time in 2022</w:t>
            </w:r>
          </w:p>
        </w:tc>
      </w:tr>
      <w:tr w:rsidR="002D7252" w14:paraId="2A69654A" w14:textId="77777777">
        <w:trPr>
          <w:trHeight w:val="821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8033C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E4DF79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20F19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25,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E1FB0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remuneration for the Board of Directors and the Supervisory Board in 2023.</w:t>
            </w:r>
          </w:p>
        </w:tc>
      </w:tr>
      <w:tr w:rsidR="002D7252" w14:paraId="50D03E40" w14:textId="77777777">
        <w:trPr>
          <w:trHeight w:val="1138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5F7E8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8504A9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10B38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16,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C3ACFD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policy of the Company borrowing capital from </w:t>
            </w:r>
            <w:proofErr w:type="spellStart"/>
            <w:r>
              <w:rPr>
                <w:rFonts w:ascii="Arial" w:hAnsi="Arial"/>
                <w:sz w:val="20"/>
              </w:rPr>
              <w:t>Shinhan</w:t>
            </w:r>
            <w:proofErr w:type="spellEnd"/>
            <w:r>
              <w:rPr>
                <w:rFonts w:ascii="Arial" w:hAnsi="Arial"/>
                <w:sz w:val="20"/>
              </w:rPr>
              <w:t xml:space="preserve"> Bank Vietnam Limited</w:t>
            </w:r>
          </w:p>
        </w:tc>
      </w:tr>
      <w:tr w:rsidR="002D7252" w14:paraId="097ABFA1" w14:textId="77777777">
        <w:trPr>
          <w:trHeight w:val="1114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F0FD0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2714D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56364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16,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6DC71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policy of the Company borrowing capital from Vietnam Joint Stock Commercial Bank for Industry and Trade - Hanoi </w:t>
            </w:r>
            <w:r>
              <w:rPr>
                <w:rFonts w:ascii="Arial" w:hAnsi="Arial"/>
                <w:sz w:val="20"/>
              </w:rPr>
              <w:t>Branch</w:t>
            </w:r>
          </w:p>
        </w:tc>
      </w:tr>
      <w:tr w:rsidR="002D7252" w14:paraId="388DC801" w14:textId="77777777">
        <w:trPr>
          <w:trHeight w:val="1416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163EE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7825B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4AE83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25,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BB7BE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Report of the General Manager on implementing production and business tasks until December 15, 2023 and key tasks for Q1/2024</w:t>
            </w:r>
          </w:p>
        </w:tc>
      </w:tr>
      <w:tr w:rsidR="002D7252" w14:paraId="15FDBD58" w14:textId="77777777">
        <w:trPr>
          <w:trHeight w:val="1426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3E9BD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11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ED59E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9EC1BD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25,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7B7329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policy of the Company borrowing </w:t>
            </w:r>
            <w:r>
              <w:rPr>
                <w:rFonts w:ascii="Arial" w:hAnsi="Arial"/>
                <w:sz w:val="20"/>
              </w:rPr>
              <w:t>capital from Joint Stock Commercial Bank for Foreign Trade of Vietnam - Transaction Office Branch</w:t>
            </w:r>
          </w:p>
        </w:tc>
      </w:tr>
      <w:tr w:rsidR="002D7252" w14:paraId="0B8CCE89" w14:textId="77777777">
        <w:trPr>
          <w:trHeight w:val="1464"/>
        </w:trPr>
        <w:tc>
          <w:tcPr>
            <w:tcW w:w="7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559D7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8645B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14/NQ-HDQT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2DE19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25, 2023</w:t>
            </w:r>
          </w:p>
        </w:tc>
        <w:tc>
          <w:tcPr>
            <w:tcW w:w="59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3327D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policy of the Company amending and supplementing the credit contract at </w:t>
            </w:r>
            <w:proofErr w:type="spellStart"/>
            <w:r>
              <w:rPr>
                <w:rFonts w:ascii="Arial" w:hAnsi="Arial"/>
                <w:sz w:val="20"/>
              </w:rPr>
              <w:t>Shinhan</w:t>
            </w:r>
            <w:proofErr w:type="spellEnd"/>
            <w:r>
              <w:rPr>
                <w:rFonts w:ascii="Arial" w:hAnsi="Arial"/>
                <w:sz w:val="20"/>
              </w:rPr>
              <w:t xml:space="preserve"> Bank Vietnam Limited</w:t>
            </w:r>
          </w:p>
        </w:tc>
      </w:tr>
    </w:tbl>
    <w:p w14:paraId="33DC0675" w14:textId="77777777" w:rsidR="002D7252" w:rsidRDefault="003D41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Supervisory Board</w:t>
      </w:r>
    </w:p>
    <w:p w14:paraId="1AF0822F" w14:textId="77777777" w:rsidR="002D7252" w:rsidRDefault="003D41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</w:t>
      </w:r>
    </w:p>
    <w:tbl>
      <w:tblPr>
        <w:tblStyle w:val="a2"/>
        <w:tblW w:w="9019" w:type="dxa"/>
        <w:tblLayout w:type="fixed"/>
        <w:tblLook w:val="0400" w:firstRow="0" w:lastRow="0" w:firstColumn="0" w:lastColumn="0" w:noHBand="0" w:noVBand="1"/>
      </w:tblPr>
      <w:tblGrid>
        <w:gridCol w:w="704"/>
        <w:gridCol w:w="2628"/>
        <w:gridCol w:w="1690"/>
        <w:gridCol w:w="1490"/>
        <w:gridCol w:w="2507"/>
      </w:tblGrid>
      <w:tr w:rsidR="002D7252" w14:paraId="02048378" w14:textId="77777777">
        <w:trPr>
          <w:trHeight w:val="17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BF0A1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F2ACA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D596F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B0E8DCC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62D14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2D7252" w14:paraId="4B8E486C" w14:textId="77777777">
        <w:trPr>
          <w:trHeight w:val="8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3435E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040E2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Cong Dung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9F999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D5487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March 31, </w:t>
            </w: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049158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  <w:p w14:paraId="5ECBCD4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Laws</w:t>
            </w:r>
          </w:p>
        </w:tc>
      </w:tr>
      <w:tr w:rsidR="002D7252" w14:paraId="1BE756C6" w14:textId="77777777">
        <w:trPr>
          <w:trHeight w:val="4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C7D4335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C88184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 Thi Thanh Huyen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C18355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7C2DA0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9339BA9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</w:tc>
      </w:tr>
      <w:tr w:rsidR="002D7252" w14:paraId="71067CBF" w14:textId="77777777">
        <w:trPr>
          <w:trHeight w:val="4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4F89C2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08A92A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Phan Duc Minh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F28E36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EA83B2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6F35B6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Business Administration</w:t>
            </w:r>
          </w:p>
        </w:tc>
      </w:tr>
    </w:tbl>
    <w:p w14:paraId="20EC8ED2" w14:textId="77777777" w:rsidR="002D7252" w:rsidRDefault="003D41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Executive Board</w:t>
      </w:r>
    </w:p>
    <w:tbl>
      <w:tblPr>
        <w:tblStyle w:val="a3"/>
        <w:tblW w:w="9019" w:type="dxa"/>
        <w:tblLayout w:type="fixed"/>
        <w:tblLook w:val="0400" w:firstRow="0" w:lastRow="0" w:firstColumn="0" w:lastColumn="0" w:noHBand="0" w:noVBand="1"/>
      </w:tblPr>
      <w:tblGrid>
        <w:gridCol w:w="720"/>
        <w:gridCol w:w="2560"/>
        <w:gridCol w:w="1515"/>
        <w:gridCol w:w="1935"/>
        <w:gridCol w:w="2289"/>
      </w:tblGrid>
      <w:tr w:rsidR="002D7252" w14:paraId="77AB87AD" w14:textId="77777777">
        <w:trPr>
          <w:trHeight w:val="10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2FC34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62CB49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Executive Board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1DA99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FF688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F59EB7A" w14:textId="60AB0D8B" w:rsidR="002D7252" w:rsidRDefault="003D41F1" w:rsidP="0029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Executive Board</w:t>
            </w:r>
          </w:p>
        </w:tc>
      </w:tr>
      <w:tr w:rsidR="002D7252" w14:paraId="08177410" w14:textId="77777777">
        <w:trPr>
          <w:trHeight w:val="7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80E85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E5D37A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 Thanh Anh</w:t>
            </w:r>
          </w:p>
          <w:p w14:paraId="292BEAE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Manager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4DFDB2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21, 1974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E7B10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7F1A0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21, 2021</w:t>
            </w:r>
          </w:p>
        </w:tc>
      </w:tr>
      <w:tr w:rsidR="002D7252" w14:paraId="61DF0A63" w14:textId="77777777">
        <w:trPr>
          <w:trHeight w:val="7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CC4FA6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71851D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Duong Thi Viet Ha</w:t>
            </w:r>
          </w:p>
          <w:p w14:paraId="2B09A53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Deputy General Manager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12FFB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</w:t>
            </w:r>
            <w:r>
              <w:rPr>
                <w:rFonts w:ascii="Arial" w:hAnsi="Arial"/>
                <w:sz w:val="20"/>
              </w:rPr>
              <w:t xml:space="preserve"> 28, 1977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E93B8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Economics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9D1297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2018</w:t>
            </w:r>
          </w:p>
        </w:tc>
      </w:tr>
      <w:tr w:rsidR="002D7252" w14:paraId="5755D42A" w14:textId="77777777">
        <w:trPr>
          <w:trHeight w:val="7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9E688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C1C1653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Vu Quang Thai</w:t>
            </w:r>
          </w:p>
          <w:p w14:paraId="2C91327D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Deputy General Manager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4AB21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28, 1979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9DE2A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Economics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0E295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01, 2021</w:t>
            </w:r>
          </w:p>
        </w:tc>
      </w:tr>
      <w:tr w:rsidR="002D7252" w14:paraId="4A886202" w14:textId="77777777">
        <w:trPr>
          <w:trHeight w:val="7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B9210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33403B8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Duy Hung</w:t>
            </w:r>
          </w:p>
          <w:p w14:paraId="5D7F9A4F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Deputy General Manager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4FBB3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March 01, 1976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CD0F4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PhD in cultural studies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CF234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01, 2021</w:t>
            </w:r>
          </w:p>
        </w:tc>
      </w:tr>
      <w:tr w:rsidR="002D7252" w14:paraId="69944488" w14:textId="77777777">
        <w:trPr>
          <w:trHeight w:val="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24C80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71BBF6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Pham Quoc Cuong</w:t>
            </w:r>
          </w:p>
          <w:p w14:paraId="3E8B28F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Deputy General Manager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AE5A7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11, 1981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D0D0C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Economics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E57A5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01, 2021</w:t>
            </w:r>
          </w:p>
        </w:tc>
      </w:tr>
    </w:tbl>
    <w:p w14:paraId="7816142F" w14:textId="77777777" w:rsidR="002D7252" w:rsidRDefault="003D41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1645"/>
        <w:gridCol w:w="2103"/>
        <w:gridCol w:w="2486"/>
      </w:tblGrid>
      <w:tr w:rsidR="002D7252" w14:paraId="34DC57B4" w14:textId="77777777">
        <w:trPr>
          <w:trHeight w:val="739"/>
        </w:trPr>
        <w:tc>
          <w:tcPr>
            <w:tcW w:w="27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1135CE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64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949D482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06A73AB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E43BF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</w:tr>
      <w:tr w:rsidR="002D7252" w14:paraId="3644F5EC" w14:textId="77777777">
        <w:trPr>
          <w:trHeight w:val="514"/>
        </w:trPr>
        <w:tc>
          <w:tcPr>
            <w:tcW w:w="278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1D755A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Thanh Binh</w:t>
            </w:r>
          </w:p>
        </w:tc>
        <w:tc>
          <w:tcPr>
            <w:tcW w:w="164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92BB2D1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13, 1983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C77F3D0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Economics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0D13E04" w14:textId="77777777" w:rsidR="002D7252" w:rsidRDefault="003D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2018</w:t>
            </w:r>
          </w:p>
        </w:tc>
      </w:tr>
    </w:tbl>
    <w:p w14:paraId="0E9B29BE" w14:textId="77777777" w:rsidR="002D7252" w:rsidRDefault="003D41F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</w:t>
      </w:r>
    </w:p>
    <w:p w14:paraId="719D0AAE" w14:textId="77777777" w:rsidR="002D7252" w:rsidRDefault="003D41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affiliated persons of the public company and transactions between affiliated persons of the Company and the Company itself</w:t>
      </w:r>
    </w:p>
    <w:p w14:paraId="5B8B2666" w14:textId="17DF7D42" w:rsidR="002D7252" w:rsidRPr="00294F0C" w:rsidRDefault="003D41F1" w:rsidP="00294F0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its major shareholder: Viet Nam Education Publishing House Limited Company: Contract to </w:t>
      </w:r>
      <w:r>
        <w:rPr>
          <w:rFonts w:ascii="Arial" w:hAnsi="Arial"/>
          <w:sz w:val="20"/>
        </w:rPr>
        <w:t>purchase and sell textbooks, teacher's books, and workbooks according to the general education program 2018, serving the 2023-2024 school year.</w:t>
      </w:r>
    </w:p>
    <w:p w14:paraId="044CF086" w14:textId="77777777" w:rsidR="002D7252" w:rsidRDefault="003D4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1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PDMR of the listed company, affiliated persons of PDMR and subsidiaries, companies controll</w:t>
      </w:r>
      <w:r>
        <w:rPr>
          <w:rFonts w:ascii="Arial" w:hAnsi="Arial"/>
          <w:sz w:val="20"/>
        </w:rPr>
        <w:t>ed by the listed company: None.</w:t>
      </w:r>
    </w:p>
    <w:p w14:paraId="16B3F383" w14:textId="77777777" w:rsidR="002D7252" w:rsidRDefault="003D41F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1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</w:t>
      </w:r>
    </w:p>
    <w:p w14:paraId="1091B039" w14:textId="77777777" w:rsidR="002D7252" w:rsidRDefault="003D4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companies that members of the Board of Directors, members of the Supervisory Board, the Executive General Manager and other managers </w:t>
      </w:r>
      <w:r>
        <w:rPr>
          <w:rFonts w:ascii="Arial" w:hAnsi="Arial"/>
          <w:sz w:val="20"/>
        </w:rPr>
        <w:t>have been founding members or members of the Board of Directors or the Executive General Manager for the past three (03) years (at the time of making the Report): None.</w:t>
      </w:r>
    </w:p>
    <w:p w14:paraId="4022470F" w14:textId="77777777" w:rsidR="002D7252" w:rsidRDefault="003D4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companies that affiliated persons of members of th</w:t>
      </w:r>
      <w:r>
        <w:rPr>
          <w:rFonts w:ascii="Arial" w:hAnsi="Arial"/>
          <w:sz w:val="20"/>
        </w:rPr>
        <w:t>e Board of Directors, members of the Supervisory Board and the Executive General Manager are members of the Board of Directors or the Executive General Manager: None.</w:t>
      </w:r>
    </w:p>
    <w:p w14:paraId="7E0CE7CE" w14:textId="77777777" w:rsidR="002D7252" w:rsidRDefault="003D4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Other transactions of the Company (if any) that can bring material or non-material </w:t>
      </w:r>
      <w:r>
        <w:rPr>
          <w:rFonts w:ascii="Arial" w:hAnsi="Arial"/>
          <w:sz w:val="20"/>
        </w:rPr>
        <w:t>benefits to members of the Board of Directors, members of the Supervisory Board, and the Executive General Manager: None.</w:t>
      </w:r>
    </w:p>
    <w:p w14:paraId="5025D67A" w14:textId="77777777" w:rsidR="002D7252" w:rsidRDefault="003D41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Share transactions of PDMR and affiliated persons of PDMR</w:t>
      </w:r>
    </w:p>
    <w:p w14:paraId="1ACB1A73" w14:textId="77777777" w:rsidR="002D7252" w:rsidRDefault="003D41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Company’s share transactions of PDMR and affiliated persons: None.</w:t>
      </w:r>
    </w:p>
    <w:p w14:paraId="7CC26958" w14:textId="77777777" w:rsidR="002D7252" w:rsidRDefault="003D41F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Other </w:t>
      </w:r>
      <w:r>
        <w:rPr>
          <w:rFonts w:ascii="Arial" w:hAnsi="Arial"/>
          <w:sz w:val="20"/>
        </w:rPr>
        <w:t>significant issues: None.</w:t>
      </w:r>
    </w:p>
    <w:sectPr w:rsidR="002D7252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494"/>
    <w:multiLevelType w:val="multilevel"/>
    <w:tmpl w:val="6EF62B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1A725D"/>
    <w:multiLevelType w:val="multilevel"/>
    <w:tmpl w:val="361651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DF9"/>
    <w:multiLevelType w:val="multilevel"/>
    <w:tmpl w:val="6F6A9370"/>
    <w:lvl w:ilvl="0">
      <w:start w:val="1"/>
      <w:numFmt w:val="upperRoman"/>
      <w:lvlText w:val="%1."/>
      <w:lvlJc w:val="left"/>
      <w:pPr>
        <w:ind w:left="112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0FC501F"/>
    <w:multiLevelType w:val="multilevel"/>
    <w:tmpl w:val="161A5B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412"/>
    <w:multiLevelType w:val="multilevel"/>
    <w:tmpl w:val="A3047A2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150F3"/>
    <w:multiLevelType w:val="multilevel"/>
    <w:tmpl w:val="6E2645D6"/>
    <w:lvl w:ilvl="0">
      <w:start w:val="4"/>
      <w:numFmt w:val="upperRoman"/>
      <w:lvlText w:val="%1."/>
      <w:lvlJc w:val="left"/>
      <w:pPr>
        <w:ind w:left="1416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7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96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380B3EE8"/>
    <w:multiLevelType w:val="multilevel"/>
    <w:tmpl w:val="2AA44D70"/>
    <w:lvl w:ilvl="0">
      <w:start w:val="1"/>
      <w:numFmt w:val="decimal"/>
      <w:lvlText w:val="%1."/>
      <w:lvlJc w:val="left"/>
      <w:pPr>
        <w:ind w:left="696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1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36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45715349"/>
    <w:multiLevelType w:val="multilevel"/>
    <w:tmpl w:val="D50E04EE"/>
    <w:lvl w:ilvl="0">
      <w:start w:val="1"/>
      <w:numFmt w:val="decimal"/>
      <w:lvlText w:val="%1."/>
      <w:lvlJc w:val="left"/>
      <w:pPr>
        <w:ind w:left="854" w:hanging="359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574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294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8">
    <w:nsid w:val="73182B36"/>
    <w:multiLevelType w:val="multilevel"/>
    <w:tmpl w:val="F2926B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6CB21C9"/>
    <w:multiLevelType w:val="multilevel"/>
    <w:tmpl w:val="C518C4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52"/>
    <w:rsid w:val="00294F0C"/>
    <w:rsid w:val="002D7252"/>
    <w:rsid w:val="003D41F1"/>
    <w:rsid w:val="00C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7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050B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070E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8F070E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5080F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9050B"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left="49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spacing w:line="202" w:lineRule="auto"/>
      <w:jc w:val="right"/>
      <w:outlineLvl w:val="0"/>
    </w:pPr>
    <w:rPr>
      <w:rFonts w:ascii="Times New Roman" w:eastAsia="Times New Roman" w:hAnsi="Times New Roman" w:cs="Times New Roman"/>
      <w:color w:val="8F070E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color w:val="8F070E"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B5080F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6" w:lineRule="auto"/>
      <w:ind w:left="530" w:firstLine="29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29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050B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070E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8F070E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5080F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9050B"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left="49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spacing w:line="202" w:lineRule="auto"/>
      <w:jc w:val="right"/>
      <w:outlineLvl w:val="0"/>
    </w:pPr>
    <w:rPr>
      <w:rFonts w:ascii="Times New Roman" w:eastAsia="Times New Roman" w:hAnsi="Times New Roman" w:cs="Times New Roman"/>
      <w:color w:val="8F070E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color w:val="8F070E"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B5080F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6" w:lineRule="auto"/>
      <w:ind w:left="530" w:firstLine="29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29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eid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5RTw+TTBje0hwalZiW0XB8Li7w==">CgMxLjA4AHIhMWlBMldvRnVoR0RndkpFZm1PRmdPMWV2M2hGVlBudXI0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2024-02-05T07:12:00Z</dcterms:created>
  <dcterms:modified xsi:type="dcterms:W3CDTF">2024-02-15T08:55:00Z</dcterms:modified>
</cp:coreProperties>
</file>