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9E1761D" w:rsidR="006B1FAA" w:rsidRPr="000B6D17" w:rsidRDefault="00C81083" w:rsidP="00C81083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  <w:lang w:val="vi-VN"/>
        </w:rPr>
      </w:pPr>
      <w:r>
        <w:rPr>
          <w:rFonts w:ascii="Arial" w:hAnsi="Arial"/>
          <w:b/>
          <w:color w:val="010000"/>
          <w:sz w:val="20"/>
        </w:rPr>
        <w:t xml:space="preserve">UPC: </w:t>
      </w:r>
      <w:r w:rsidR="00F0467A">
        <w:rPr>
          <w:rFonts w:ascii="Arial" w:hAnsi="Arial"/>
          <w:b/>
          <w:color w:val="010000"/>
          <w:sz w:val="20"/>
        </w:rPr>
        <w:t>Extraordinary</w:t>
      </w:r>
      <w:r>
        <w:rPr>
          <w:rFonts w:ascii="Arial" w:hAnsi="Arial"/>
          <w:b/>
          <w:color w:val="010000"/>
          <w:sz w:val="20"/>
        </w:rPr>
        <w:t xml:space="preserve"> General Mandate 202</w:t>
      </w:r>
      <w:r w:rsidR="000B6D17">
        <w:rPr>
          <w:rFonts w:ascii="Arial" w:hAnsi="Arial"/>
          <w:b/>
          <w:color w:val="010000"/>
          <w:sz w:val="20"/>
          <w:lang w:val="vi-VN"/>
        </w:rPr>
        <w:t>4</w:t>
      </w:r>
    </w:p>
    <w:p w14:paraId="00000002" w14:textId="7E6393AC" w:rsidR="006B1FAA" w:rsidRDefault="00C81083" w:rsidP="00C81083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January 26, 2024, </w:t>
      </w:r>
      <w:proofErr w:type="spellStart"/>
      <w:r>
        <w:rPr>
          <w:rFonts w:ascii="Arial" w:hAnsi="Arial"/>
          <w:color w:val="010000"/>
          <w:sz w:val="20"/>
        </w:rPr>
        <w:t>Vung</w:t>
      </w:r>
      <w:proofErr w:type="spellEnd"/>
      <w:r>
        <w:rPr>
          <w:rFonts w:ascii="Arial" w:hAnsi="Arial"/>
          <w:color w:val="010000"/>
          <w:sz w:val="20"/>
        </w:rPr>
        <w:t xml:space="preserve"> Tau Urban and Parks Development JSC announced General Mandate No. 01/NQ-DHDCD on collecting shareholders' ballots</w:t>
      </w:r>
      <w:r>
        <w:rPr>
          <w:rFonts w:ascii="Arial" w:hAnsi="Arial"/>
          <w:color w:val="010000"/>
          <w:sz w:val="20"/>
        </w:rPr>
        <w:t xml:space="preserve"> as follows:</w:t>
      </w:r>
    </w:p>
    <w:p w14:paraId="00000003" w14:textId="77777777" w:rsidR="006B1FAA" w:rsidRDefault="00C81083" w:rsidP="00C81083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1. Approve changing the audit company to audit the Financial Statements 2023 of </w:t>
      </w:r>
      <w:proofErr w:type="spellStart"/>
      <w:r>
        <w:rPr>
          <w:rFonts w:ascii="Arial" w:hAnsi="Arial"/>
          <w:color w:val="010000"/>
          <w:sz w:val="20"/>
        </w:rPr>
        <w:t>Vung</w:t>
      </w:r>
      <w:proofErr w:type="spellEnd"/>
      <w:r>
        <w:rPr>
          <w:rFonts w:ascii="Arial" w:hAnsi="Arial"/>
          <w:color w:val="010000"/>
          <w:sz w:val="20"/>
        </w:rPr>
        <w:t xml:space="preserve"> Tau Urban and Parks Development JSC as follows</w:t>
      </w:r>
    </w:p>
    <w:p w14:paraId="00000004" w14:textId="77777777" w:rsidR="006B1FAA" w:rsidRDefault="00C81083" w:rsidP="00C810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0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Former Audit Company: TTP Auditing Company Limited</w:t>
      </w:r>
    </w:p>
    <w:p w14:paraId="00000005" w14:textId="77777777" w:rsidR="006B1FAA" w:rsidRDefault="00C81083" w:rsidP="00C810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0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New Audit Company:</w:t>
      </w:r>
    </w:p>
    <w:p w14:paraId="00000006" w14:textId="77777777" w:rsidR="006B1FAA" w:rsidRDefault="00C81083" w:rsidP="00C810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International Auditing </w:t>
      </w:r>
      <w:proofErr w:type="gramStart"/>
      <w:r>
        <w:rPr>
          <w:rFonts w:ascii="Arial" w:hAnsi="Arial"/>
          <w:color w:val="010000"/>
          <w:sz w:val="20"/>
        </w:rPr>
        <w:t>And</w:t>
      </w:r>
      <w:proofErr w:type="gramEnd"/>
      <w:r>
        <w:rPr>
          <w:rFonts w:ascii="Arial" w:hAnsi="Arial"/>
          <w:color w:val="010000"/>
          <w:sz w:val="20"/>
        </w:rPr>
        <w:t xml:space="preserve"> Valuation Company Limited</w:t>
      </w:r>
    </w:p>
    <w:p w14:paraId="00000007" w14:textId="77777777" w:rsidR="006B1FAA" w:rsidRDefault="00C81083" w:rsidP="00C810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Asco Firm Auditing </w:t>
      </w:r>
      <w:proofErr w:type="gramStart"/>
      <w:r>
        <w:rPr>
          <w:rFonts w:ascii="Arial" w:hAnsi="Arial"/>
          <w:color w:val="010000"/>
          <w:sz w:val="20"/>
        </w:rPr>
        <w:t>And</w:t>
      </w:r>
      <w:proofErr w:type="gramEnd"/>
      <w:r>
        <w:rPr>
          <w:rFonts w:ascii="Arial" w:hAnsi="Arial"/>
          <w:color w:val="010000"/>
          <w:sz w:val="20"/>
        </w:rPr>
        <w:t xml:space="preserve"> Valuation Company Limited</w:t>
      </w:r>
    </w:p>
    <w:p w14:paraId="00000008" w14:textId="77777777" w:rsidR="006B1FAA" w:rsidRDefault="00C81083" w:rsidP="00C81083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2: The Board of Directors is authorized to select 01 out of the 02 above audit companies to audit the Financial Statements 2023 of the Company.</w:t>
      </w:r>
    </w:p>
    <w:p w14:paraId="00000009" w14:textId="165396EC" w:rsidR="006B1FAA" w:rsidRDefault="00C81083" w:rsidP="00C81083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3: This General Mand</w:t>
      </w:r>
      <w:r>
        <w:rPr>
          <w:rFonts w:ascii="Arial" w:hAnsi="Arial"/>
          <w:color w:val="010000"/>
          <w:sz w:val="20"/>
        </w:rPr>
        <w:t>ate takes effect from the date of its signing. Members of the Board of Directors, Supervisory Board and</w:t>
      </w:r>
      <w:bookmarkStart w:id="0" w:name="_GoBack"/>
      <w:bookmarkEnd w:id="0"/>
      <w:r>
        <w:rPr>
          <w:rFonts w:ascii="Arial" w:hAnsi="Arial"/>
          <w:color w:val="010000"/>
          <w:sz w:val="20"/>
        </w:rPr>
        <w:t xml:space="preserve"> Executive Board of the Company and related units are responsible for implementing this General Mandate and organizing its implementation in accorda</w:t>
      </w:r>
      <w:r>
        <w:rPr>
          <w:rFonts w:ascii="Arial" w:hAnsi="Arial"/>
          <w:color w:val="010000"/>
          <w:sz w:val="20"/>
        </w:rPr>
        <w:t xml:space="preserve">nce with the provisions of the law and the Charter of </w:t>
      </w:r>
      <w:proofErr w:type="spellStart"/>
      <w:r>
        <w:rPr>
          <w:rFonts w:ascii="Arial" w:hAnsi="Arial"/>
          <w:color w:val="010000"/>
          <w:sz w:val="20"/>
        </w:rPr>
        <w:t>Vung</w:t>
      </w:r>
      <w:proofErr w:type="spellEnd"/>
      <w:r>
        <w:rPr>
          <w:rFonts w:ascii="Arial" w:hAnsi="Arial"/>
          <w:color w:val="010000"/>
          <w:sz w:val="20"/>
        </w:rPr>
        <w:t xml:space="preserve"> Tau Urban and Parks Development </w:t>
      </w:r>
      <w:proofErr w:type="gramStart"/>
      <w:r>
        <w:rPr>
          <w:rFonts w:ascii="Arial" w:hAnsi="Arial"/>
          <w:color w:val="010000"/>
          <w:sz w:val="20"/>
        </w:rPr>
        <w:t>JSC./</w:t>
      </w:r>
      <w:proofErr w:type="gramEnd"/>
    </w:p>
    <w:sectPr w:rsidR="006B1FAA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44CB"/>
    <w:multiLevelType w:val="multilevel"/>
    <w:tmpl w:val="EA10ED3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1BA0A71"/>
    <w:multiLevelType w:val="multilevel"/>
    <w:tmpl w:val="8C3C474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AA"/>
    <w:rsid w:val="000B6D17"/>
    <w:rsid w:val="006B1FAA"/>
    <w:rsid w:val="00C81083"/>
    <w:rsid w:val="00F0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75FE5"/>
  <w15:docId w15:val="{A35B0CE7-E96E-2F40-8C70-13A831AE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53146"/>
      <w:sz w:val="32"/>
      <w:szCs w:val="32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Other0">
    <w:name w:val="Other"/>
    <w:basedOn w:val="Normal"/>
    <w:link w:val="Other"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jc w:val="right"/>
      <w:outlineLvl w:val="0"/>
    </w:pPr>
    <w:rPr>
      <w:rFonts w:ascii="Times New Roman" w:eastAsia="Times New Roman" w:hAnsi="Times New Roman" w:cs="Times New Roman"/>
      <w:color w:val="C53146"/>
      <w:sz w:val="32"/>
      <w:szCs w:val="32"/>
    </w:rPr>
  </w:style>
  <w:style w:type="paragraph" w:customStyle="1" w:styleId="Tablecaption0">
    <w:name w:val="Table caption"/>
    <w:basedOn w:val="Normal"/>
    <w:link w:val="Tablecaption"/>
    <w:pPr>
      <w:spacing w:line="254" w:lineRule="auto"/>
      <w:ind w:firstLine="6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rKItj8zL6xqmcEGUiB56YzPkJA==">CgMxLjA4AHIhMVhVUHdmMGRuOTExblBFSDg3cGtQWnoyazFrR3MzTEtt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2024-02-15T11:36:00Z</dcterms:created>
  <dcterms:modified xsi:type="dcterms:W3CDTF">2024-02-15T11:36:00Z</dcterms:modified>
</cp:coreProperties>
</file>