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B8E5" w14:textId="77777777" w:rsidR="002178A7" w:rsidRPr="00433ED2" w:rsidRDefault="00B90C1C" w:rsidP="00280D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33ED2">
        <w:rPr>
          <w:rFonts w:ascii="Arial" w:hAnsi="Arial" w:cs="Arial"/>
          <w:b/>
          <w:color w:val="010000"/>
          <w:sz w:val="20"/>
        </w:rPr>
        <w:t xml:space="preserve">CBI: Board Resolution </w:t>
      </w:r>
      <w:bookmarkStart w:id="0" w:name="_GoBack"/>
      <w:bookmarkEnd w:id="0"/>
    </w:p>
    <w:p w14:paraId="6F401D7A" w14:textId="77777777" w:rsidR="002178A7" w:rsidRPr="00433ED2" w:rsidRDefault="00B90C1C" w:rsidP="00280D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3ED2">
        <w:rPr>
          <w:rFonts w:ascii="Arial" w:hAnsi="Arial" w:cs="Arial"/>
          <w:color w:val="010000"/>
          <w:sz w:val="20"/>
        </w:rPr>
        <w:t>On February 7, 2024, Cao Bang Cast Iron &amp; Steel JSC announced Resolution No. 237/NQ-CISCO on approving contracts and transactions with affiliated persons as follows:</w:t>
      </w:r>
    </w:p>
    <w:p w14:paraId="6B63D9A2" w14:textId="77777777" w:rsidR="002178A7" w:rsidRPr="00433ED2" w:rsidRDefault="00B90C1C" w:rsidP="00280D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33ED2">
        <w:rPr>
          <w:rFonts w:ascii="Arial" w:hAnsi="Arial" w:cs="Arial"/>
          <w:color w:val="010000"/>
          <w:sz w:val="20"/>
        </w:rPr>
        <w:t>‎‎Article 1.</w:t>
      </w:r>
      <w:proofErr w:type="gramEnd"/>
      <w:r w:rsidRPr="00433ED2">
        <w:rPr>
          <w:rFonts w:ascii="Arial" w:hAnsi="Arial" w:cs="Arial"/>
          <w:color w:val="010000"/>
          <w:sz w:val="20"/>
        </w:rPr>
        <w:t xml:space="preserve"> The Board of Directors approves the transaction/contract to buy/sell limonite iron ore to serve production between the Company and </w:t>
      </w:r>
      <w:proofErr w:type="spellStart"/>
      <w:r w:rsidRPr="00433ED2">
        <w:rPr>
          <w:rFonts w:ascii="Arial" w:hAnsi="Arial" w:cs="Arial"/>
          <w:color w:val="010000"/>
          <w:sz w:val="20"/>
        </w:rPr>
        <w:t>Vinacomin</w:t>
      </w:r>
      <w:proofErr w:type="spellEnd"/>
      <w:r w:rsidRPr="00433ED2">
        <w:rPr>
          <w:rFonts w:ascii="Arial" w:hAnsi="Arial" w:cs="Arial"/>
          <w:color w:val="010000"/>
          <w:sz w:val="20"/>
        </w:rPr>
        <w:t xml:space="preserve"> - Minerals Holding Corporation (affiliated person) according to the Company's Proposal, specifically as follows:</w:t>
      </w:r>
    </w:p>
    <w:p w14:paraId="70A10233" w14:textId="77777777" w:rsidR="002178A7" w:rsidRPr="00433ED2" w:rsidRDefault="00B90C1C" w:rsidP="00280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3ED2">
        <w:rPr>
          <w:rFonts w:ascii="Arial" w:hAnsi="Arial" w:cs="Arial"/>
          <w:color w:val="010000"/>
          <w:sz w:val="20"/>
        </w:rPr>
        <w:t>Buy/sell quantity: 30,000 tons ±5% refers to 0% humidity.</w:t>
      </w:r>
    </w:p>
    <w:p w14:paraId="6BDE6386" w14:textId="77777777" w:rsidR="002178A7" w:rsidRPr="00433ED2" w:rsidRDefault="00B90C1C" w:rsidP="00280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3ED2">
        <w:rPr>
          <w:rFonts w:ascii="Arial" w:hAnsi="Arial" w:cs="Arial"/>
          <w:color w:val="010000"/>
          <w:sz w:val="20"/>
        </w:rPr>
        <w:t>Technical specifications of limonite iron ore: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2"/>
        <w:gridCol w:w="1087"/>
        <w:gridCol w:w="843"/>
        <w:gridCol w:w="831"/>
        <w:gridCol w:w="925"/>
        <w:gridCol w:w="829"/>
        <w:gridCol w:w="952"/>
        <w:gridCol w:w="928"/>
        <w:gridCol w:w="1350"/>
      </w:tblGrid>
      <w:tr w:rsidR="002178A7" w:rsidRPr="00433ED2" w14:paraId="23DA9934" w14:textId="77777777" w:rsidTr="00A44BD4"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CF567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Total Fe (</w:t>
            </w:r>
            <w:proofErr w:type="spellStart"/>
            <w:r w:rsidRPr="00433ED2">
              <w:rPr>
                <w:rFonts w:ascii="Arial" w:hAnsi="Arial" w:cs="Arial"/>
                <w:color w:val="010000"/>
                <w:sz w:val="20"/>
              </w:rPr>
              <w:t>TFe</w:t>
            </w:r>
            <w:proofErr w:type="spellEnd"/>
            <w:r w:rsidRPr="00433ED2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F55A6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Crystallized water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583FE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SiO</w:t>
            </w:r>
            <w:r w:rsidRPr="00433ED2">
              <w:rPr>
                <w:rFonts w:ascii="Arial" w:hAnsi="Arial" w:cs="Arial"/>
                <w:color w:val="010000"/>
                <w:sz w:val="20"/>
                <w:vertAlign w:val="subscript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57412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2DDB7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P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05CAB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Al</w:t>
            </w:r>
            <w:r w:rsidRPr="00433ED2">
              <w:rPr>
                <w:rFonts w:ascii="Arial" w:hAnsi="Arial" w:cs="Arial"/>
                <w:color w:val="010000"/>
                <w:sz w:val="20"/>
                <w:vertAlign w:val="subscript"/>
              </w:rPr>
              <w:t>2</w:t>
            </w:r>
            <w:r w:rsidRPr="00433ED2">
              <w:rPr>
                <w:rFonts w:ascii="Arial" w:hAnsi="Arial" w:cs="Arial"/>
                <w:color w:val="010000"/>
                <w:sz w:val="20"/>
              </w:rPr>
              <w:t>O</w:t>
            </w:r>
            <w:r w:rsidRPr="00433ED2">
              <w:rPr>
                <w:rFonts w:ascii="Arial" w:hAnsi="Arial" w:cs="Arial"/>
                <w:color w:val="010000"/>
                <w:sz w:val="20"/>
                <w:vertAlign w:val="subscript"/>
              </w:rPr>
              <w:t>3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FE5E3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Zn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002B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33ED2">
              <w:rPr>
                <w:rFonts w:ascii="Arial" w:hAnsi="Arial" w:cs="Arial"/>
                <w:color w:val="010000"/>
                <w:sz w:val="20"/>
              </w:rPr>
              <w:t>Pb</w:t>
            </w:r>
            <w:proofErr w:type="spellEnd"/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A4F21" w14:textId="77777777" w:rsidR="002178A7" w:rsidRPr="00433ED2" w:rsidRDefault="00B90C1C" w:rsidP="00A4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3ED2">
              <w:rPr>
                <w:rFonts w:ascii="Arial" w:hAnsi="Arial" w:cs="Arial"/>
                <w:color w:val="010000"/>
                <w:sz w:val="20"/>
              </w:rPr>
              <w:t>Na</w:t>
            </w:r>
            <w:r w:rsidRPr="00433ED2">
              <w:rPr>
                <w:rFonts w:ascii="Arial" w:hAnsi="Arial" w:cs="Arial"/>
                <w:color w:val="010000"/>
                <w:sz w:val="20"/>
                <w:vertAlign w:val="subscript"/>
              </w:rPr>
              <w:t>2</w:t>
            </w:r>
            <w:r w:rsidRPr="00433ED2">
              <w:rPr>
                <w:rFonts w:ascii="Arial" w:hAnsi="Arial" w:cs="Arial"/>
                <w:color w:val="010000"/>
                <w:sz w:val="20"/>
              </w:rPr>
              <w:t>O+K</w:t>
            </w:r>
            <w:r w:rsidRPr="00433ED2">
              <w:rPr>
                <w:rFonts w:ascii="Arial" w:hAnsi="Arial" w:cs="Arial"/>
                <w:color w:val="010000"/>
                <w:sz w:val="20"/>
                <w:vertAlign w:val="subscript"/>
              </w:rPr>
              <w:t>2</w:t>
            </w:r>
            <w:r w:rsidRPr="00433ED2">
              <w:rPr>
                <w:rFonts w:ascii="Arial" w:hAnsi="Arial" w:cs="Arial"/>
                <w:color w:val="010000"/>
                <w:sz w:val="20"/>
              </w:rPr>
              <w:t>O</w:t>
            </w:r>
          </w:p>
        </w:tc>
      </w:tr>
      <w:tr w:rsidR="002178A7" w:rsidRPr="00433ED2" w14:paraId="5BFABA6D" w14:textId="77777777" w:rsidTr="00A44BD4"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42F3E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0"/>
                <w:id w:val="703531735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≥ 53.0%</w:t>
                </w:r>
              </w:sdtContent>
            </w:sdt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51EB6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1"/>
                <w:id w:val="860470229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≥ 10%</w:t>
                </w:r>
              </w:sdtContent>
            </w:sdt>
          </w:p>
        </w:tc>
        <w:tc>
          <w:tcPr>
            <w:tcW w:w="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80702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2"/>
                <w:id w:val="1337273775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8.0%</w:t>
                </w:r>
              </w:sdtContent>
            </w:sdt>
          </w:p>
        </w:tc>
        <w:tc>
          <w:tcPr>
            <w:tcW w:w="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197DE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3"/>
                <w:id w:val="-536579491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0.1%</w:t>
                </w:r>
              </w:sdtContent>
            </w:sdt>
          </w:p>
        </w:tc>
        <w:tc>
          <w:tcPr>
            <w:tcW w:w="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BE5B5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4"/>
                <w:id w:val="-1303080307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0.08%</w:t>
                </w:r>
              </w:sdtContent>
            </w:sdt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8243A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5"/>
                <w:id w:val="-2103402663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3.5%</w:t>
                </w:r>
              </w:sdtContent>
            </w:sdt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285E2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6"/>
                <w:id w:val="2121415117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0.05%</w:t>
                </w:r>
              </w:sdtContent>
            </w:sdt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70D82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7"/>
                <w:id w:val="-868759555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0.05%</w:t>
                </w:r>
              </w:sdtContent>
            </w:sdt>
          </w:p>
        </w:tc>
        <w:tc>
          <w:tcPr>
            <w:tcW w:w="7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E2F56" w14:textId="77777777" w:rsidR="002178A7" w:rsidRPr="00433ED2" w:rsidRDefault="00D4798F" w:rsidP="00D47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10000"/>
                  <w:sz w:val="20"/>
                </w:rPr>
                <w:tag w:val="goog_rdk_8"/>
                <w:id w:val="-1884935359"/>
              </w:sdtPr>
              <w:sdtEndPr/>
              <w:sdtContent>
                <w:r w:rsidR="00B90C1C" w:rsidRPr="00433ED2">
                  <w:rPr>
                    <w:rFonts w:ascii="Arial" w:hAnsi="Arial" w:cs="Arial"/>
                    <w:color w:val="010000"/>
                    <w:sz w:val="20"/>
                  </w:rPr>
                  <w:t>≤ 0.2%</w:t>
                </w:r>
              </w:sdtContent>
            </w:sdt>
          </w:p>
        </w:tc>
      </w:tr>
    </w:tbl>
    <w:p w14:paraId="3CCECCAD" w14:textId="77777777" w:rsidR="002178A7" w:rsidRPr="00433ED2" w:rsidRDefault="00B90C1C" w:rsidP="00280D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33ED2">
        <w:rPr>
          <w:rFonts w:ascii="Arial" w:hAnsi="Arial" w:cs="Arial"/>
          <w:color w:val="010000"/>
          <w:sz w:val="20"/>
        </w:rPr>
        <w:t>‎‎Article 2.</w:t>
      </w:r>
      <w:proofErr w:type="gramEnd"/>
      <w:r w:rsidRPr="00433ED2">
        <w:rPr>
          <w:rFonts w:ascii="Arial" w:hAnsi="Arial" w:cs="Arial"/>
          <w:color w:val="010000"/>
          <w:sz w:val="20"/>
        </w:rPr>
        <w:t xml:space="preserve"> Assign the Company’s Manager to sign and implement transactions/purchase/sale contracts in accordance with the Company's production and business situation, ensuring that the value of the transaction/contract is less than 10% of the total asset value of the Company recorded in the most recent Audited Financial Statements and in accordance with regulations.</w:t>
      </w:r>
    </w:p>
    <w:p w14:paraId="648EE3F5" w14:textId="57675C1C" w:rsidR="002178A7" w:rsidRPr="00433ED2" w:rsidRDefault="00B90C1C" w:rsidP="00280D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proofErr w:type="gramStart"/>
      <w:r w:rsidRPr="00433ED2">
        <w:rPr>
          <w:rFonts w:ascii="Arial" w:hAnsi="Arial" w:cs="Arial"/>
          <w:color w:val="010000"/>
          <w:sz w:val="20"/>
        </w:rPr>
        <w:t>‎‎Article 3.</w:t>
      </w:r>
      <w:proofErr w:type="gramEnd"/>
      <w:r w:rsidRPr="00433ED2">
        <w:rPr>
          <w:rFonts w:ascii="Arial" w:hAnsi="Arial" w:cs="Arial"/>
          <w:color w:val="010000"/>
          <w:sz w:val="20"/>
        </w:rPr>
        <w:t xml:space="preserve"> This Resolution takes effect from the date of its signing. Members of </w:t>
      </w:r>
      <w:r w:rsidR="00433ED2">
        <w:rPr>
          <w:rFonts w:ascii="Arial" w:hAnsi="Arial" w:cs="Arial"/>
          <w:color w:val="010000"/>
          <w:sz w:val="20"/>
        </w:rPr>
        <w:t xml:space="preserve">the </w:t>
      </w:r>
      <w:r w:rsidRPr="00433ED2">
        <w:rPr>
          <w:rFonts w:ascii="Arial" w:hAnsi="Arial" w:cs="Arial"/>
          <w:color w:val="010000"/>
          <w:sz w:val="20"/>
        </w:rPr>
        <w:t>Board of Directors, the Supervisory Board, the Executive Board, Heads of subsidiaries are responsible for implementing this Resolution./.</w:t>
      </w:r>
    </w:p>
    <w:sectPr w:rsidR="002178A7" w:rsidRPr="00433ED2" w:rsidSect="00A44B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2381" w14:textId="77777777" w:rsidR="00280D2F" w:rsidRDefault="00280D2F" w:rsidP="00280D2F">
      <w:r>
        <w:separator/>
      </w:r>
    </w:p>
  </w:endnote>
  <w:endnote w:type="continuationSeparator" w:id="0">
    <w:p w14:paraId="1AE34494" w14:textId="77777777" w:rsidR="00280D2F" w:rsidRDefault="00280D2F" w:rsidP="002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E4D7" w14:textId="77777777" w:rsidR="00280D2F" w:rsidRDefault="00280D2F" w:rsidP="00280D2F">
      <w:r>
        <w:separator/>
      </w:r>
    </w:p>
  </w:footnote>
  <w:footnote w:type="continuationSeparator" w:id="0">
    <w:p w14:paraId="698B6F45" w14:textId="77777777" w:rsidR="00280D2F" w:rsidRDefault="00280D2F" w:rsidP="0028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B21"/>
    <w:multiLevelType w:val="multilevel"/>
    <w:tmpl w:val="FBA480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7"/>
    <w:rsid w:val="002178A7"/>
    <w:rsid w:val="00280D2F"/>
    <w:rsid w:val="00433ED2"/>
    <w:rsid w:val="00A44BD4"/>
    <w:rsid w:val="00B90C1C"/>
    <w:rsid w:val="00D4798F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D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324E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color w:val="8F324E"/>
      <w:sz w:val="22"/>
      <w:szCs w:val="22"/>
    </w:rPr>
  </w:style>
  <w:style w:type="paragraph" w:customStyle="1" w:styleId="Khc0">
    <w:name w:val="Khác"/>
    <w:basedOn w:val="Normal"/>
    <w:link w:val="Khc"/>
    <w:pPr>
      <w:spacing w:line="24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2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324E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color w:val="8F324E"/>
      <w:sz w:val="22"/>
      <w:szCs w:val="22"/>
    </w:rPr>
  </w:style>
  <w:style w:type="paragraph" w:customStyle="1" w:styleId="Khc0">
    <w:name w:val="Khác"/>
    <w:basedOn w:val="Normal"/>
    <w:link w:val="Khc"/>
    <w:pPr>
      <w:spacing w:line="24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2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uCAsPPbh8JohyzlTC4/dQDruM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yCGguZ2pkZ3hzOAByITFJZTFnaF9zZFdqU1Y3NjRDdlFuX1doR1lwYVladVR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4</cp:revision>
  <dcterms:created xsi:type="dcterms:W3CDTF">2024-02-15T04:33:00Z</dcterms:created>
  <dcterms:modified xsi:type="dcterms:W3CDTF">2024-02-16T03:27:00Z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f3cd27d07c6072addf59b01ca2393148df443c408aa00f4e60cf879f279ddf34</vt:lpwstr>
  </property>
</Properties>
</file>