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9006" w14:textId="77777777" w:rsidR="0014446C" w:rsidRPr="00272490" w:rsidRDefault="00272490" w:rsidP="00275C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HAC: Annual Corporate Governance Report 2023</w:t>
      </w:r>
    </w:p>
    <w:p w14:paraId="11712082" w14:textId="77777777" w:rsidR="0014446C" w:rsidRPr="00272490" w:rsidRDefault="00272490" w:rsidP="00275C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Hai Phong Securities Joint Stock Company announced Report No. 26/BC-</w:t>
      </w:r>
      <w:proofErr w:type="gramStart"/>
      <w:r>
        <w:rPr>
          <w:rFonts w:ascii="Arial" w:hAnsi="Arial"/>
          <w:color w:val="010000"/>
          <w:sz w:val="20"/>
        </w:rPr>
        <w:t>CKHP  on</w:t>
      </w:r>
      <w:proofErr w:type="gramEnd"/>
      <w:r>
        <w:rPr>
          <w:rFonts w:ascii="Arial" w:hAnsi="Arial"/>
          <w:color w:val="010000"/>
          <w:sz w:val="20"/>
        </w:rPr>
        <w:t xml:space="preserve"> the corporate governance of the Company in 2023 as follows: </w:t>
      </w:r>
    </w:p>
    <w:p w14:paraId="3BF8C50A" w14:textId="77777777" w:rsidR="0014446C" w:rsidRPr="00272490" w:rsidRDefault="00272490" w:rsidP="00275C2E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Hai Phong Securities Joint Stock Company</w:t>
      </w:r>
    </w:p>
    <w:p w14:paraId="51ABD1BF" w14:textId="77777777" w:rsidR="0014446C" w:rsidRPr="00272490" w:rsidRDefault="00272490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7, lot 28A Le Hong Phong Street, Dong </w:t>
      </w:r>
      <w:proofErr w:type="spellStart"/>
      <w:r>
        <w:rPr>
          <w:rFonts w:ascii="Arial" w:hAnsi="Arial"/>
          <w:color w:val="010000"/>
          <w:sz w:val="20"/>
        </w:rPr>
        <w:t>Khe</w:t>
      </w:r>
      <w:proofErr w:type="spellEnd"/>
      <w:r>
        <w:rPr>
          <w:rFonts w:ascii="Arial" w:hAnsi="Arial"/>
          <w:color w:val="010000"/>
          <w:sz w:val="20"/>
        </w:rPr>
        <w:t xml:space="preserve"> Ward, Ngo </w:t>
      </w:r>
      <w:proofErr w:type="spellStart"/>
      <w:r>
        <w:rPr>
          <w:rFonts w:ascii="Arial" w:hAnsi="Arial"/>
          <w:color w:val="010000"/>
          <w:sz w:val="20"/>
        </w:rPr>
        <w:t>Quyen</w:t>
      </w:r>
      <w:proofErr w:type="spellEnd"/>
      <w:r>
        <w:rPr>
          <w:rFonts w:ascii="Arial" w:hAnsi="Arial"/>
          <w:color w:val="010000"/>
          <w:sz w:val="20"/>
        </w:rPr>
        <w:t xml:space="preserve"> District, Hai Phong City</w:t>
      </w:r>
    </w:p>
    <w:p w14:paraId="3920C32A" w14:textId="77777777" w:rsidR="00275C2E" w:rsidRPr="00275C2E" w:rsidRDefault="00272490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8"/>
        </w:tabs>
        <w:spacing w:after="120" w:line="360" w:lineRule="auto"/>
        <w:jc w:val="both"/>
        <w:rPr>
          <w:rFonts w:asciiTheme="minorHAnsi" w:eastAsia="Arial" w:hAnsiTheme="minorHAnsi" w:cstheme="minorHAnsi"/>
          <w:color w:val="010000"/>
          <w:sz w:val="22"/>
          <w:szCs w:val="22"/>
        </w:rPr>
      </w:pPr>
      <w:r>
        <w:rPr>
          <w:rFonts w:ascii="Arial" w:hAnsi="Arial"/>
          <w:color w:val="010000"/>
          <w:sz w:val="20"/>
        </w:rPr>
        <w:t xml:space="preserve">Tel: 0225 3842335 Fax: Fax: 0225 3746266 </w:t>
      </w:r>
    </w:p>
    <w:p w14:paraId="479A604E" w14:textId="1B39FDE3" w:rsidR="0014446C" w:rsidRPr="00275C2E" w:rsidRDefault="00275C2E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8"/>
        </w:tabs>
        <w:spacing w:after="120" w:line="360" w:lineRule="auto"/>
        <w:jc w:val="both"/>
        <w:rPr>
          <w:rFonts w:asciiTheme="minorHAnsi" w:eastAsia="Arial" w:hAnsiTheme="minorHAnsi" w:cstheme="minorHAnsi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r w:rsidR="00272490" w:rsidRPr="00275C2E">
        <w:rPr>
          <w:rFonts w:asciiTheme="minorHAnsi" w:hAnsiTheme="minorHAnsi" w:cstheme="minorHAnsi"/>
          <w:sz w:val="20"/>
          <w:szCs w:val="20"/>
        </w:rPr>
        <w:t>haseco@haseco.vn</w:t>
      </w:r>
    </w:p>
    <w:p w14:paraId="086D7AF6" w14:textId="77777777" w:rsidR="0014446C" w:rsidRPr="00272490" w:rsidRDefault="00272490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291,810,960,000</w:t>
      </w:r>
    </w:p>
    <w:p w14:paraId="6B12F50C" w14:textId="77777777" w:rsidR="0014446C" w:rsidRPr="00272490" w:rsidRDefault="00272490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HAC</w:t>
      </w:r>
    </w:p>
    <w:p w14:paraId="514FCAB7" w14:textId="77777777" w:rsidR="0014446C" w:rsidRPr="00272490" w:rsidRDefault="00272490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7D20A3F8" w14:textId="4987E0A2" w:rsidR="0014446C" w:rsidRPr="00272490" w:rsidRDefault="00272490" w:rsidP="00275C2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corporate governance model includes: The </w:t>
      </w:r>
      <w:r w:rsidR="00275C2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Supervisory Board, the Board of Directors and the 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683F6AF6" w14:textId="250008A8" w:rsidR="0014446C" w:rsidRPr="00272490" w:rsidRDefault="00272490" w:rsidP="00275C2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organizational structure of the Company was structured based on the principle of assignment of duties and management according to the functions of each department and their solid cooperation. The 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manages and operates by directly appointing and authorizing persons to resolve specific duties of departments by managing said departments.</w:t>
      </w:r>
    </w:p>
    <w:p w14:paraId="63F74199" w14:textId="1ACDA178" w:rsidR="0014446C" w:rsidRPr="00272490" w:rsidRDefault="00272490" w:rsidP="00275C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</w:t>
      </w:r>
    </w:p>
    <w:p w14:paraId="1F9C6972" w14:textId="77777777" w:rsidR="0014446C" w:rsidRPr="00272490" w:rsidRDefault="00272490" w:rsidP="00275C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operations of the internal audit were independent, objective, genuine and were able to implement the following tasks:</w:t>
      </w:r>
    </w:p>
    <w:p w14:paraId="4E85EC3E" w14:textId="77777777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Review, check and evaluate the sufficiency, efficiency and validity of the internal audit system.</w:t>
      </w:r>
    </w:p>
    <w:p w14:paraId="02C4D859" w14:textId="05D1F981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Assess the compliance of business operations with legal policies, the Charter, decisions of the </w:t>
      </w:r>
      <w:r w:rsidR="00275C2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, the Board of Directors and Internal Regulations.</w:t>
      </w:r>
    </w:p>
    <w:p w14:paraId="54AC8F4B" w14:textId="77777777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setting up Internal Policies and Regulations.</w:t>
      </w:r>
    </w:p>
    <w:p w14:paraId="7B021C97" w14:textId="6860D0BB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Assess the compliance with </w:t>
      </w:r>
      <w:r w:rsidR="00A61AFB">
        <w:rPr>
          <w:rFonts w:ascii="Arial" w:hAnsi="Arial"/>
          <w:color w:val="010000"/>
          <w:sz w:val="20"/>
        </w:rPr>
        <w:t>applicable laws</w:t>
      </w:r>
      <w:r>
        <w:rPr>
          <w:rFonts w:ascii="Arial" w:hAnsi="Arial"/>
          <w:color w:val="010000"/>
          <w:sz w:val="20"/>
        </w:rPr>
        <w:t>, control safety measures to ensure safety of assets.</w:t>
      </w:r>
    </w:p>
    <w:p w14:paraId="1B0FD6BA" w14:textId="77777777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Assess the efficiency of operations and compliance with contract commitments.</w:t>
      </w:r>
    </w:p>
    <w:p w14:paraId="49AD5970" w14:textId="77777777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 the supervision of the information technology system.</w:t>
      </w:r>
    </w:p>
    <w:p w14:paraId="1A4CFC8D" w14:textId="77777777" w:rsidR="0014446C" w:rsidRPr="00272490" w:rsidRDefault="00272490" w:rsidP="00275C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Investigate internal violations and implement the internal audit function.</w:t>
      </w:r>
    </w:p>
    <w:p w14:paraId="16815F0E" w14:textId="77777777" w:rsidR="0014446C" w:rsidRPr="00272490" w:rsidRDefault="00272490" w:rsidP="00275C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There are still some restrictions such as:</w:t>
      </w:r>
    </w:p>
    <w:p w14:paraId="7C28478A" w14:textId="77777777" w:rsidR="0014446C" w:rsidRPr="00272490" w:rsidRDefault="00272490" w:rsidP="00275C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identification process of business risks has not been assessed.</w:t>
      </w:r>
    </w:p>
    <w:p w14:paraId="304D86D3" w14:textId="175E8498" w:rsidR="0014446C" w:rsidRPr="00272490" w:rsidRDefault="00272490" w:rsidP="00275C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275C2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293A12B6" w14:textId="2A686730" w:rsidR="0014446C" w:rsidRPr="00272490" w:rsidRDefault="00272490" w:rsidP="00275C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Information about meetings and General Mandates/Decisions of the </w:t>
      </w:r>
      <w:r w:rsidR="00275C2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B64883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1"/>
        <w:gridCol w:w="2112"/>
        <w:gridCol w:w="1345"/>
        <w:gridCol w:w="4799"/>
      </w:tblGrid>
      <w:tr w:rsidR="0014446C" w:rsidRPr="00272490" w14:paraId="3AA5205A" w14:textId="77777777" w:rsidTr="00272490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CA397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C98AC" w14:textId="1ACB91F9" w:rsidR="0014446C" w:rsidRPr="00272490" w:rsidRDefault="00B64883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9B68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C5427" w14:textId="0EABAD0A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B64883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14446C" w:rsidRPr="00272490" w14:paraId="32237717" w14:textId="77777777" w:rsidTr="00272490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701C5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BE40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72/2023/NQ-CKHP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84F09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2023</w:t>
            </w:r>
          </w:p>
        </w:tc>
        <w:tc>
          <w:tcPr>
            <w:tcW w:w="2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D12B0" w14:textId="77777777" w:rsidR="0014446C" w:rsidRPr="00272490" w:rsidRDefault="00272490" w:rsidP="0027249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Apprive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the audited financial statements and business performance results for the year 2022 and the business mission for 2023.</w:t>
            </w:r>
          </w:p>
          <w:p w14:paraId="77E2E50B" w14:textId="77777777" w:rsidR="0014446C" w:rsidRPr="00272490" w:rsidRDefault="00272490" w:rsidP="0027249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Board of Directors' assessment report; Approve the Supervisory Board's report.</w:t>
            </w:r>
          </w:p>
          <w:p w14:paraId="5679C19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remuneration of the Board of Directors and the Supervisory Board in 2023.</w:t>
            </w:r>
          </w:p>
          <w:p w14:paraId="1805B686" w14:textId="77777777" w:rsidR="0014446C" w:rsidRPr="00272490" w:rsidRDefault="00272490" w:rsidP="0027249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Proposal on selecting an audit company for Financial Statements 2023.</w:t>
            </w:r>
          </w:p>
          <w:p w14:paraId="2E37EA47" w14:textId="77777777" w:rsidR="0014446C" w:rsidRPr="00272490" w:rsidRDefault="00272490" w:rsidP="0027249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amending the Company’s Charter</w:t>
            </w:r>
          </w:p>
        </w:tc>
      </w:tr>
    </w:tbl>
    <w:p w14:paraId="159C8A45" w14:textId="33311906" w:rsidR="0014446C" w:rsidRPr="00272490" w:rsidRDefault="00272490" w:rsidP="002724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31713589" w14:textId="77777777" w:rsidR="0014446C" w:rsidRPr="00272490" w:rsidRDefault="00272490" w:rsidP="0027249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7"/>
        <w:tblW w:w="5000" w:type="pct"/>
        <w:tblLook w:val="0400" w:firstRow="0" w:lastRow="0" w:firstColumn="0" w:lastColumn="0" w:noHBand="0" w:noVBand="1"/>
      </w:tblPr>
      <w:tblGrid>
        <w:gridCol w:w="670"/>
        <w:gridCol w:w="2839"/>
        <w:gridCol w:w="2595"/>
        <w:gridCol w:w="1398"/>
        <w:gridCol w:w="1515"/>
      </w:tblGrid>
      <w:tr w:rsidR="0014446C" w:rsidRPr="00272490" w14:paraId="4141A289" w14:textId="77777777" w:rsidTr="00272490"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F92A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9C7E4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64AA5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A8D7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14446C" w:rsidRPr="00272490" w14:paraId="3A59E404" w14:textId="77777777" w:rsidTr="00272490"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5443B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73DEF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FE3FF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A965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54B64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14446C" w:rsidRPr="00272490" w14:paraId="60DEEA67" w14:textId="77777777" w:rsidTr="00272490"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D392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5A95D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F30B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CFE2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FDD7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14446C" w:rsidRPr="00272490" w14:paraId="7BE1761C" w14:textId="77777777" w:rsidTr="00272490"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34DA7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6F08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Xuan Thuy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59A3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94A6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7396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14446C" w:rsidRPr="00272490" w14:paraId="041D7B6A" w14:textId="77777777" w:rsidTr="00272490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D06A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4556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Doan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Luyen</w:t>
            </w:r>
            <w:proofErr w:type="spellEnd"/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E625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F3D0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43F4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14446C" w:rsidRPr="00272490" w14:paraId="5AC478F3" w14:textId="77777777" w:rsidTr="00272490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4507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F156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Nguyet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60C14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A437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C05B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14446C" w:rsidRPr="00272490" w14:paraId="4823F883" w14:textId="77777777" w:rsidTr="00272490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0EDF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55DC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Thanh Nga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BF86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5887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04F04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7018BF0" w14:textId="77777777" w:rsidR="0014446C" w:rsidRPr="00272490" w:rsidRDefault="00272490" w:rsidP="0027249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1"/>
        <w:gridCol w:w="1854"/>
        <w:gridCol w:w="1351"/>
        <w:gridCol w:w="5241"/>
      </w:tblGrid>
      <w:tr w:rsidR="0014446C" w:rsidRPr="00272490" w14:paraId="7EA15361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2419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A272D" w14:textId="7FF8B8AD" w:rsidR="0014446C" w:rsidRPr="00272490" w:rsidRDefault="00B64883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B879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AD81A" w14:textId="03D1BC5D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B64883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14446C" w:rsidRPr="00272490" w14:paraId="7A2138F0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8ACD9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B70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887B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B561D" w14:textId="77777777" w:rsidR="0014446C" w:rsidRPr="00272490" w:rsidRDefault="00272490" w:rsidP="002724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final results of the Business plan in 2022</w:t>
            </w:r>
          </w:p>
          <w:p w14:paraId="38338043" w14:textId="77777777" w:rsidR="0014446C" w:rsidRPr="00272490" w:rsidRDefault="00272490" w:rsidP="002724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operational situations in 2022.</w:t>
            </w:r>
          </w:p>
          <w:p w14:paraId="2ACC4935" w14:textId="77777777" w:rsidR="0014446C" w:rsidRPr="00272490" w:rsidRDefault="00272490" w:rsidP="002724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estimated plan for 2023 and solutions to be made.</w:t>
            </w:r>
          </w:p>
        </w:tc>
      </w:tr>
      <w:tr w:rsidR="0014446C" w:rsidRPr="00272490" w14:paraId="38E370C9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2425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8579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49D4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2CF29" w14:textId="77777777" w:rsidR="0014446C" w:rsidRPr="00272490" w:rsidRDefault="00272490" w:rsidP="0027249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01 months of 2023.</w:t>
            </w:r>
          </w:p>
          <w:p w14:paraId="0D324957" w14:textId="77777777" w:rsidR="0014446C" w:rsidRPr="00272490" w:rsidRDefault="00272490" w:rsidP="0027249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01 months of 2023.</w:t>
            </w:r>
          </w:p>
          <w:p w14:paraId="5D344261" w14:textId="77777777" w:rsidR="0014446C" w:rsidRPr="00272490" w:rsidRDefault="00272490" w:rsidP="0027249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February 2023 plan and proposing some implementation solutions.</w:t>
            </w:r>
          </w:p>
        </w:tc>
      </w:tr>
      <w:tr w:rsidR="0014446C" w:rsidRPr="00272490" w14:paraId="61961A33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A97E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32ED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8125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06,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39A25" w14:textId="77777777" w:rsidR="0014446C" w:rsidRPr="00272490" w:rsidRDefault="00272490" w:rsidP="00272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2 months of 2023.</w:t>
            </w:r>
          </w:p>
          <w:p w14:paraId="38DD6CC9" w14:textId="77777777" w:rsidR="0014446C" w:rsidRPr="00272490" w:rsidRDefault="00272490" w:rsidP="00272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2 months of 2023.</w:t>
            </w:r>
          </w:p>
          <w:p w14:paraId="21A331B7" w14:textId="77777777" w:rsidR="0014446C" w:rsidRPr="00272490" w:rsidRDefault="00272490" w:rsidP="00272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March 2023 plan and proposing some implementation solutions.</w:t>
            </w:r>
          </w:p>
          <w:p w14:paraId="0CB6F307" w14:textId="14F4EAA1" w:rsidR="0014446C" w:rsidRPr="00272490" w:rsidRDefault="00272490" w:rsidP="00272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organization plan for the Annual </w:t>
            </w:r>
            <w:r w:rsidR="00275C2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14446C" w:rsidRPr="00272490" w14:paraId="724E33D2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7FB6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67A9B" w14:textId="5D704D10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A6B3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108AE" w14:textId="77777777" w:rsidR="0014446C" w:rsidRPr="00272490" w:rsidRDefault="00272490" w:rsidP="00272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3 months of 2023.</w:t>
            </w:r>
          </w:p>
          <w:p w14:paraId="4F86EF46" w14:textId="77777777" w:rsidR="0014446C" w:rsidRPr="00272490" w:rsidRDefault="00272490" w:rsidP="00272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3 months of 2023.</w:t>
            </w:r>
          </w:p>
          <w:p w14:paraId="06963822" w14:textId="77777777" w:rsidR="0014446C" w:rsidRPr="00272490" w:rsidRDefault="00272490" w:rsidP="00272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April 2023 plan and proposing some implementation solutions.</w:t>
            </w:r>
          </w:p>
          <w:p w14:paraId="4BF432D0" w14:textId="4AC9CCB4" w:rsidR="0014446C" w:rsidRPr="00272490" w:rsidRDefault="00272490" w:rsidP="00272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documents, the agenda of the Annual </w:t>
            </w:r>
            <w:r w:rsidR="00275C2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</w:t>
            </w:r>
          </w:p>
        </w:tc>
      </w:tr>
      <w:tr w:rsidR="0014446C" w:rsidRPr="00272490" w14:paraId="74E579C9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6EC7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A375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AFC7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37F73" w14:textId="26F07CC6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resignation of the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Company:</w:t>
            </w:r>
          </w:p>
          <w:p w14:paraId="2C6D370B" w14:textId="738C3A7D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Company's Board of Directors approves Mr. Vu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Chair of the Board of Directors to resign from the position of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to serve as Deputy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 of the Company from April 27, 2023</w:t>
            </w:r>
          </w:p>
        </w:tc>
      </w:tr>
      <w:tr w:rsidR="0014446C" w:rsidRPr="00272490" w14:paraId="46163FED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DF73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2326D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56EF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DEA3E" w14:textId="77777777" w:rsidR="0014446C" w:rsidRPr="00272490" w:rsidRDefault="00272490" w:rsidP="00272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results of the business plan in the first 04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months of 2023.</w:t>
            </w:r>
          </w:p>
          <w:p w14:paraId="79E02C81" w14:textId="77777777" w:rsidR="0014446C" w:rsidRPr="00272490" w:rsidRDefault="00272490" w:rsidP="00272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4 months of 2023.</w:t>
            </w:r>
          </w:p>
          <w:p w14:paraId="281844DB" w14:textId="77777777" w:rsidR="0014446C" w:rsidRPr="00272490" w:rsidRDefault="00272490" w:rsidP="00272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May 2023 plan and proposing some implementation solutions</w:t>
            </w:r>
          </w:p>
        </w:tc>
      </w:tr>
      <w:tr w:rsidR="0014446C" w:rsidRPr="00272490" w14:paraId="647EC711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F540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807E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3336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E3FF" w14:textId="77777777" w:rsidR="0014446C" w:rsidRPr="00272490" w:rsidRDefault="00272490" w:rsidP="00272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05 months of 2023.</w:t>
            </w:r>
          </w:p>
          <w:p w14:paraId="23AF69BB" w14:textId="77777777" w:rsidR="0014446C" w:rsidRPr="00272490" w:rsidRDefault="00272490" w:rsidP="00272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5 months of 2023.</w:t>
            </w:r>
          </w:p>
          <w:p w14:paraId="1B77F856" w14:textId="77777777" w:rsidR="0014446C" w:rsidRPr="00272490" w:rsidRDefault="00272490" w:rsidP="00272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June 2023 plan and proposing some implementation solutions</w:t>
            </w:r>
          </w:p>
        </w:tc>
      </w:tr>
      <w:tr w:rsidR="0014446C" w:rsidRPr="00272490" w14:paraId="5C678CBF" w14:textId="77777777" w:rsidTr="00272490">
        <w:trPr>
          <w:trHeight w:val="465"/>
        </w:trPr>
        <w:tc>
          <w:tcPr>
            <w:tcW w:w="31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7D07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2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601C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118/2023/NQ-CKHP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0373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290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42596" w14:textId="77777777" w:rsidR="0014446C" w:rsidRPr="00272490" w:rsidRDefault="00272490" w:rsidP="00272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6 months of 2023.</w:t>
            </w:r>
          </w:p>
          <w:p w14:paraId="2E6299B9" w14:textId="77777777" w:rsidR="0014446C" w:rsidRPr="00272490" w:rsidRDefault="00272490" w:rsidP="00272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6 months of 2023.</w:t>
            </w:r>
          </w:p>
          <w:p w14:paraId="17B02AD3" w14:textId="77777777" w:rsidR="0014446C" w:rsidRPr="00272490" w:rsidRDefault="00272490" w:rsidP="0027249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July 2023 plan and proposing some implementation solutions</w:t>
            </w:r>
          </w:p>
        </w:tc>
      </w:tr>
      <w:tr w:rsidR="0014446C" w:rsidRPr="00272490" w14:paraId="6C776D2B" w14:textId="77777777" w:rsidTr="00272490">
        <w:trPr>
          <w:trHeight w:val="465"/>
        </w:trPr>
        <w:tc>
          <w:tcPr>
            <w:tcW w:w="31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F6467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B7985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19C57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0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771DA" w14:textId="77777777" w:rsidR="0014446C" w:rsidRPr="00272490" w:rsidRDefault="0014446C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446C" w:rsidRPr="00272490" w14:paraId="52C1D1A6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3F49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A58E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0B9C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27,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116F" w14:textId="324A46EB" w:rsidR="0014446C" w:rsidRPr="00272490" w:rsidRDefault="00272490" w:rsidP="00272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appointment of the position of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- cum-Manager of HCM City Brand for Ms. Nguyen Thi Nguyet.</w:t>
            </w:r>
          </w:p>
          <w:p w14:paraId="04808D85" w14:textId="77777777" w:rsidR="0014446C" w:rsidRPr="00272490" w:rsidRDefault="00272490" w:rsidP="00272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 of appointment from July 27, 2023 - until the end of the 5th term (2021 - 2026).</w:t>
            </w:r>
          </w:p>
        </w:tc>
      </w:tr>
      <w:tr w:rsidR="0014446C" w:rsidRPr="00272490" w14:paraId="200433D0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4BF3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7BE9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138/2023/NQ-CKHP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7E0E7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04,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BD848" w14:textId="77777777" w:rsidR="0014446C" w:rsidRPr="00272490" w:rsidRDefault="00272490" w:rsidP="00272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7 months of 2023.</w:t>
            </w:r>
          </w:p>
          <w:p w14:paraId="06051E3F" w14:textId="77777777" w:rsidR="0014446C" w:rsidRPr="00272490" w:rsidRDefault="00272490" w:rsidP="00272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7 months of 2023.</w:t>
            </w:r>
          </w:p>
          <w:p w14:paraId="0D66136F" w14:textId="77777777" w:rsidR="0014446C" w:rsidRPr="00272490" w:rsidRDefault="00272490" w:rsidP="00272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August 2023 plan and proposing some implementation solutions</w:t>
            </w:r>
          </w:p>
        </w:tc>
      </w:tr>
      <w:tr w:rsidR="0014446C" w:rsidRPr="00272490" w14:paraId="4379C857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465A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CFFF4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165/2023/NQ-CKHP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3FB45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B78C9" w14:textId="77777777" w:rsidR="0014446C" w:rsidRPr="00272490" w:rsidRDefault="00272490" w:rsidP="00272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8 months of 2023.</w:t>
            </w:r>
          </w:p>
          <w:p w14:paraId="0E556E18" w14:textId="77777777" w:rsidR="0014446C" w:rsidRPr="00272490" w:rsidRDefault="00272490" w:rsidP="00272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8 months of 2023.</w:t>
            </w:r>
          </w:p>
          <w:p w14:paraId="7E6D5599" w14:textId="77777777" w:rsidR="0014446C" w:rsidRPr="00272490" w:rsidRDefault="00272490" w:rsidP="00272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September 2023 plan and proposing some implementation solutions</w:t>
            </w:r>
          </w:p>
        </w:tc>
      </w:tr>
      <w:tr w:rsidR="0014446C" w:rsidRPr="00272490" w14:paraId="2F9BA772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791E4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49AF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183/2023/NQ-CKHP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9C5F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06,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CF644" w14:textId="77777777" w:rsidR="0014446C" w:rsidRPr="00272490" w:rsidRDefault="00272490" w:rsidP="002724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9 months of 2023.</w:t>
            </w:r>
          </w:p>
          <w:p w14:paraId="12E05EA8" w14:textId="77777777" w:rsidR="0014446C" w:rsidRPr="00272490" w:rsidRDefault="00272490" w:rsidP="002724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9 months of 2023.</w:t>
            </w:r>
          </w:p>
          <w:p w14:paraId="449BFF3D" w14:textId="77777777" w:rsidR="0014446C" w:rsidRPr="00272490" w:rsidRDefault="00272490" w:rsidP="002724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October 2023 plan and proposing some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implementation solutions</w:t>
            </w:r>
          </w:p>
        </w:tc>
      </w:tr>
      <w:tr w:rsidR="0014446C" w:rsidRPr="00272490" w14:paraId="784648C2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3838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A8879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204/2023/NQ-CKHP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2520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07,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224E4" w14:textId="77777777" w:rsidR="0014446C" w:rsidRPr="00272490" w:rsidRDefault="00272490" w:rsidP="0027249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10 months of 2023.</w:t>
            </w:r>
          </w:p>
          <w:p w14:paraId="7CBE482B" w14:textId="77777777" w:rsidR="0014446C" w:rsidRPr="00272490" w:rsidRDefault="00272490" w:rsidP="0027249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10 months of 2023.</w:t>
            </w:r>
          </w:p>
          <w:p w14:paraId="2AE397E0" w14:textId="77777777" w:rsidR="0014446C" w:rsidRPr="00272490" w:rsidRDefault="00272490" w:rsidP="0027249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November 2023 plan and proposing some implementation solutions</w:t>
            </w:r>
          </w:p>
        </w:tc>
      </w:tr>
      <w:tr w:rsidR="0014446C" w:rsidRPr="00272490" w14:paraId="383A4A32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2394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B5957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231/2023/NQ-CKHP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F399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04,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05D26" w14:textId="77777777" w:rsidR="0014446C" w:rsidRPr="00272490" w:rsidRDefault="00272490" w:rsidP="002724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Business plan in the first 11 months of 2023.</w:t>
            </w:r>
          </w:p>
          <w:p w14:paraId="1FF23CD2" w14:textId="77777777" w:rsidR="0014446C" w:rsidRPr="00272490" w:rsidRDefault="00272490" w:rsidP="002724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Evaluate the operations in the first 11 months of 2023.</w:t>
            </w:r>
          </w:p>
          <w:p w14:paraId="2B13F8BE" w14:textId="77777777" w:rsidR="0014446C" w:rsidRPr="00272490" w:rsidRDefault="00272490" w:rsidP="002724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December 2023 plan and proposing some implementation solutions</w:t>
            </w:r>
          </w:p>
        </w:tc>
      </w:tr>
      <w:tr w:rsidR="0014446C" w:rsidRPr="00272490" w14:paraId="713BD585" w14:textId="77777777" w:rsidTr="00272490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D2A5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E451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240/2023/NQ-CKHP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C618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5AB3E" w14:textId="77777777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investment in purchasing shares of Green International Hospital Joint Stock Company, specifically as follows:</w:t>
            </w:r>
          </w:p>
          <w:p w14:paraId="42F73C65" w14:textId="77777777" w:rsidR="0014446C" w:rsidRPr="00272490" w:rsidRDefault="00272490" w:rsidP="0027249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Information about shares offered</w:t>
            </w:r>
          </w:p>
          <w:p w14:paraId="21D4C47D" w14:textId="77777777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Issuer: Green International Hospital Joint Stock Company</w:t>
            </w:r>
          </w:p>
          <w:p w14:paraId="7A82A20F" w14:textId="76762D71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No. 738 Nguyen Van Linh</w:t>
            </w:r>
            <w:r w:rsidR="00A00769">
              <w:rPr>
                <w:rFonts w:ascii="Arial" w:hAnsi="Arial"/>
                <w:color w:val="010000"/>
                <w:sz w:val="20"/>
              </w:rPr>
              <w:t xml:space="preserve"> Street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Nghia</w:t>
            </w:r>
            <w:proofErr w:type="spellEnd"/>
            <w:r w:rsidR="00A00769">
              <w:rPr>
                <w:rFonts w:ascii="Arial" w:hAnsi="Arial"/>
                <w:color w:val="010000"/>
                <w:sz w:val="20"/>
              </w:rPr>
              <w:t xml:space="preserve"> Ward</w:t>
            </w:r>
            <w:r>
              <w:rPr>
                <w:rFonts w:ascii="Arial" w:hAnsi="Arial"/>
                <w:color w:val="010000"/>
                <w:sz w:val="20"/>
              </w:rPr>
              <w:t>, Le Chan</w:t>
            </w:r>
            <w:r w:rsidR="00A00769">
              <w:rPr>
                <w:rFonts w:ascii="Arial" w:hAnsi="Arial"/>
                <w:color w:val="010000"/>
                <w:sz w:val="20"/>
              </w:rPr>
              <w:t xml:space="preserve"> District</w:t>
            </w:r>
            <w:r>
              <w:rPr>
                <w:rFonts w:ascii="Arial" w:hAnsi="Arial"/>
                <w:color w:val="010000"/>
                <w:sz w:val="20"/>
              </w:rPr>
              <w:t>, Hai Phong</w:t>
            </w:r>
          </w:p>
          <w:p w14:paraId="00901190" w14:textId="77777777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Par value: VND 10,000</w:t>
            </w:r>
          </w:p>
          <w:p w14:paraId="31FE7B62" w14:textId="77777777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Securities type: Common shares, not yet listed</w:t>
            </w:r>
          </w:p>
          <w:p w14:paraId="0AD02FAE" w14:textId="77777777" w:rsidR="0014446C" w:rsidRPr="00272490" w:rsidRDefault="00272490" w:rsidP="0027249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purpose: Seeking profit for the company.</w:t>
            </w:r>
          </w:p>
          <w:p w14:paraId="6FC1D35A" w14:textId="77777777" w:rsidR="0014446C" w:rsidRPr="00272490" w:rsidRDefault="00272490" w:rsidP="0027249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 of shares and purchase price.</w:t>
            </w:r>
          </w:p>
          <w:p w14:paraId="79D62189" w14:textId="77777777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invested: 3,800,000 share</w:t>
            </w:r>
          </w:p>
          <w:p w14:paraId="26D17457" w14:textId="77777777" w:rsidR="0014446C" w:rsidRPr="00272490" w:rsidRDefault="00272490" w:rsidP="0027249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price: VND 10,000/share</w:t>
            </w:r>
          </w:p>
          <w:p w14:paraId="4C68F2EA" w14:textId="77777777" w:rsidR="0014446C" w:rsidRPr="00272490" w:rsidRDefault="00272490" w:rsidP="0027249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execution time: Transaction execution time: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  <w:t>Immediately after the Company's Board of Directors issues a resolution approving promulgates the investment.</w:t>
            </w:r>
          </w:p>
        </w:tc>
      </w:tr>
    </w:tbl>
    <w:p w14:paraId="1F7B3958" w14:textId="16AED43B" w:rsidR="0014446C" w:rsidRPr="00272490" w:rsidRDefault="00272490" w:rsidP="002724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55539958" w14:textId="77777777" w:rsidR="0014446C" w:rsidRPr="00272490" w:rsidRDefault="00272490" w:rsidP="0027249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925"/>
        <w:gridCol w:w="1325"/>
        <w:gridCol w:w="2087"/>
        <w:gridCol w:w="2045"/>
      </w:tblGrid>
      <w:tr w:rsidR="0014446C" w:rsidRPr="00272490" w14:paraId="76A3F9DD" w14:textId="77777777" w:rsidTr="00272490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E9D8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E5F1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Members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2084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Position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3D13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appointment/dismissal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as member of the Supervisory Board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34967" w14:textId="70A6DB71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Qualification</w:t>
            </w:r>
          </w:p>
        </w:tc>
      </w:tr>
      <w:tr w:rsidR="0014446C" w:rsidRPr="00272490" w14:paraId="3E24A6A1" w14:textId="77777777" w:rsidTr="00272490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5807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DD50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Mai Anh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172A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  <w:p w14:paraId="00889B6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FA33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5C0DD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  <w:tr w:rsidR="0014446C" w:rsidRPr="00272490" w14:paraId="54029DDA" w14:textId="77777777" w:rsidTr="00272490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94376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DB89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My Trang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F77F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8E80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B784B" w14:textId="5CE7FF0B" w:rsidR="0014446C" w:rsidRPr="00272490" w:rsidRDefault="00275C2E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72490">
              <w:rPr>
                <w:rFonts w:ascii="Arial" w:hAnsi="Arial"/>
                <w:color w:val="010000"/>
                <w:sz w:val="20"/>
              </w:rPr>
              <w:t xml:space="preserve"> Laws</w:t>
            </w:r>
          </w:p>
        </w:tc>
      </w:tr>
      <w:tr w:rsidR="0014446C" w:rsidRPr="00272490" w14:paraId="78243DBD" w14:textId="77777777" w:rsidTr="00272490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E8E6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A204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Doan Thi Thuy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5C864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59AC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2021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017F8" w14:textId="14EB2CEB" w:rsidR="0014446C" w:rsidRPr="00272490" w:rsidRDefault="00275C2E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7249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216161CA" w14:textId="44A43948" w:rsidR="0014446C" w:rsidRPr="00272490" w:rsidRDefault="00272490" w:rsidP="002724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Board.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3"/>
        <w:gridCol w:w="2453"/>
        <w:gridCol w:w="1448"/>
        <w:gridCol w:w="1874"/>
        <w:gridCol w:w="2449"/>
      </w:tblGrid>
      <w:tr w:rsidR="0014446C" w:rsidRPr="00272490" w14:paraId="10FDBDFC" w14:textId="77777777" w:rsidTr="0027249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14C0A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EE450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9B23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7E4E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5D08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14446C" w:rsidRPr="00272490" w14:paraId="3C213622" w14:textId="77777777" w:rsidTr="0027249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E387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86DB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4F7F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14, 1942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8ADD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Doctor of Economic Sciences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403B6" w14:textId="2AE7A297" w:rsid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05, 2016: Appointed to be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0EB11FE4" w14:textId="4B3A66DD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27, 2023: Resigned as Deputy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14446C" w:rsidRPr="00272490" w14:paraId="29F4C381" w14:textId="77777777" w:rsidTr="00272490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69B0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746B9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Nguyet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0EA7F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14, 1981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0C1F5" w14:textId="7C8095D0" w:rsidR="0014446C" w:rsidRPr="00272490" w:rsidRDefault="00275C2E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72490">
              <w:rPr>
                <w:rFonts w:ascii="Arial" w:hAnsi="Arial"/>
                <w:color w:val="010000"/>
                <w:sz w:val="20"/>
              </w:rPr>
              <w:t xml:space="preserve"> Finance and Banking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99FDF" w14:textId="1449FBFC" w:rsid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16, 2016: Appointment of Deputy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142D53CE" w14:textId="4A8EF011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27, 2023: Appointed to be </w:t>
            </w:r>
            <w:r w:rsidR="00275C2E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</w:tbl>
    <w:p w14:paraId="2DFCF226" w14:textId="77777777" w:rsidR="0014446C" w:rsidRPr="00272490" w:rsidRDefault="00272490" w:rsidP="002724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0"/>
        <w:gridCol w:w="1903"/>
        <w:gridCol w:w="2260"/>
        <w:gridCol w:w="2344"/>
      </w:tblGrid>
      <w:tr w:rsidR="0014446C" w:rsidRPr="00272490" w14:paraId="04E03611" w14:textId="77777777" w:rsidTr="00272490"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25DD1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5F5BE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13332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5CF58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14446C" w:rsidRPr="00272490" w14:paraId="7D5ABF0F" w14:textId="77777777" w:rsidTr="00272490"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6EE83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Thanh Nga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8E43D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03, 1985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8F165" w14:textId="63C15F2F" w:rsidR="0014446C" w:rsidRPr="00272490" w:rsidRDefault="00275C2E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7249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1857B" w14:textId="77777777" w:rsidR="0014446C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01, 2020</w:t>
            </w:r>
          </w:p>
        </w:tc>
      </w:tr>
    </w:tbl>
    <w:p w14:paraId="1D609A90" w14:textId="77777777" w:rsidR="0014446C" w:rsidRPr="00272490" w:rsidRDefault="00272490" w:rsidP="00B104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 None.</w:t>
      </w:r>
    </w:p>
    <w:p w14:paraId="1E164062" w14:textId="5686EC63" w:rsidR="0014446C" w:rsidRPr="00272490" w:rsidRDefault="00272490" w:rsidP="00B104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(report for the first 6 months of the year) and transactions between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56B0C0AC" w14:textId="7EB820E9" w:rsidR="0014446C" w:rsidRPr="00272490" w:rsidRDefault="00272490" w:rsidP="00B104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</w:t>
      </w:r>
      <w:r>
        <w:rPr>
          <w:rFonts w:ascii="Arial" w:hAnsi="Arial"/>
          <w:color w:val="010000"/>
          <w:sz w:val="20"/>
        </w:rPr>
        <w:lastRenderedPageBreak/>
        <w:t xml:space="preserve">Company and </w:t>
      </w:r>
      <w:r w:rsidR="00B1043C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9"/>
        <w:gridCol w:w="2200"/>
        <w:gridCol w:w="1066"/>
        <w:gridCol w:w="1082"/>
        <w:gridCol w:w="2141"/>
        <w:gridCol w:w="1510"/>
        <w:gridCol w:w="449"/>
      </w:tblGrid>
      <w:tr w:rsidR="00272490" w:rsidRPr="00272490" w14:paraId="03E37427" w14:textId="77777777" w:rsidTr="00272490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C74DA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BBE65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3CB15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Corporation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03E66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6B050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6BE0F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62CDA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72490" w:rsidRPr="00272490" w14:paraId="68566B59" w14:textId="77777777" w:rsidTr="00272490">
        <w:trPr>
          <w:trHeight w:val="465"/>
        </w:trPr>
        <w:tc>
          <w:tcPr>
            <w:tcW w:w="41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B9E2F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A9294" w14:textId="79BD285B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Xuan Cuong</w:t>
            </w:r>
          </w:p>
        </w:tc>
        <w:tc>
          <w:tcPr>
            <w:tcW w:w="60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DD78E" w14:textId="7A842C5C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Son of the Chair of the Board of Directors</w:t>
            </w:r>
          </w:p>
        </w:tc>
        <w:tc>
          <w:tcPr>
            <w:tcW w:w="79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51DDB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128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6F579" w14:textId="2D301178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240/2023/NQ-CKHP announced on December 25, 2023 of the Company on the approval of investment in purchasing shares of Green International Hospital Joint Stock Company</w:t>
            </w:r>
          </w:p>
        </w:tc>
        <w:tc>
          <w:tcPr>
            <w:tcW w:w="9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AE247" w14:textId="281AF5FF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of purchasing shares of Green International Hospital Joint Stock Company</w:t>
            </w:r>
          </w:p>
          <w:p w14:paraId="36B77EAF" w14:textId="77777777" w:rsidR="00272490" w:rsidRPr="00272490" w:rsidRDefault="00272490" w:rsidP="002724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 of shares invested:</w:t>
            </w:r>
          </w:p>
          <w:p w14:paraId="3883BE97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3,800,000 share</w:t>
            </w:r>
          </w:p>
          <w:p w14:paraId="313382F2" w14:textId="77777777" w:rsidR="00272490" w:rsidRPr="00272490" w:rsidRDefault="00272490" w:rsidP="002724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price: VND 10,000/share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33A75" w14:textId="77777777" w:rsidR="00272490" w:rsidRPr="00272490" w:rsidRDefault="00272490" w:rsidP="00272490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72490" w:rsidRPr="00272490" w14:paraId="750B74C2" w14:textId="77777777" w:rsidTr="00272490">
        <w:trPr>
          <w:trHeight w:val="465"/>
        </w:trPr>
        <w:tc>
          <w:tcPr>
            <w:tcW w:w="41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13529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13B16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4A8FC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6EDB3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9D273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B91AC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02BC2" w14:textId="77777777" w:rsidR="00272490" w:rsidRPr="00272490" w:rsidRDefault="00272490" w:rsidP="00272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8B3B06" w14:textId="0DEB905A" w:rsidR="0014446C" w:rsidRPr="00272490" w:rsidRDefault="00272490" w:rsidP="00B104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1F643B76" w14:textId="77777777" w:rsidR="0014446C" w:rsidRPr="00272490" w:rsidRDefault="00272490" w:rsidP="00B104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6349CF05" w14:textId="0E8889FE" w:rsidR="0014446C" w:rsidRPr="00272490" w:rsidRDefault="00272490" w:rsidP="00B1043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4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B1043C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(the 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</w:t>
      </w:r>
      <w:r w:rsidR="00B1043C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(the 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B1043C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2197D2A7" w14:textId="150FCE6A" w:rsidR="0014446C" w:rsidRPr="00272490" w:rsidRDefault="00272490" w:rsidP="00B1043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that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</w:t>
      </w:r>
      <w:r w:rsidR="00B1043C">
        <w:rPr>
          <w:rFonts w:ascii="Arial" w:hAnsi="Arial"/>
          <w:color w:val="010000"/>
          <w:sz w:val="20"/>
        </w:rPr>
        <w:t>of the Supervisory Board and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B1043C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B1043C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5879105B" w14:textId="651CD78C" w:rsidR="0014446C" w:rsidRPr="00272490" w:rsidRDefault="00272490" w:rsidP="00B1043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OOther</w:t>
      </w:r>
      <w:proofErr w:type="spellEnd"/>
      <w:r>
        <w:rPr>
          <w:rFonts w:ascii="Arial" w:hAnsi="Arial"/>
          <w:color w:val="010000"/>
          <w:sz w:val="20"/>
        </w:rPr>
        <w:t xml:space="preserve"> transactions of the Company (if any) which can bring material or non-material benefits to members of the Board of Directors, membe</w:t>
      </w:r>
      <w:r w:rsidR="00E5631A">
        <w:rPr>
          <w:rFonts w:ascii="Arial" w:hAnsi="Arial"/>
          <w:color w:val="010000"/>
          <w:sz w:val="20"/>
        </w:rPr>
        <w:t>rs of the Supervisory Board, Executive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Manager (</w:t>
      </w:r>
      <w:r w:rsidR="00275C2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37755C09" w14:textId="07DD89CA" w:rsidR="0014446C" w:rsidRPr="00272490" w:rsidRDefault="00272490" w:rsidP="00B104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6 months/year).</w:t>
      </w:r>
    </w:p>
    <w:p w14:paraId="2C588B1B" w14:textId="4E953CBD" w:rsidR="0014446C" w:rsidRPr="00272490" w:rsidRDefault="00272490" w:rsidP="00B104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of PDMR and </w:t>
      </w:r>
      <w:r w:rsidR="00275C2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for shares of listed companies None</w:t>
      </w:r>
    </w:p>
    <w:p w14:paraId="5BDD495F" w14:textId="77777777" w:rsidR="0014446C" w:rsidRPr="00272490" w:rsidRDefault="00272490" w:rsidP="00B1043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14446C" w:rsidRPr="00272490" w:rsidSect="002724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47"/>
    <w:multiLevelType w:val="multilevel"/>
    <w:tmpl w:val="DE6EE1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F47D3"/>
    <w:multiLevelType w:val="multilevel"/>
    <w:tmpl w:val="7B0ACE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322D5C"/>
    <w:multiLevelType w:val="multilevel"/>
    <w:tmpl w:val="DF14B0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06421A"/>
    <w:multiLevelType w:val="multilevel"/>
    <w:tmpl w:val="E3CA43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29E7"/>
    <w:multiLevelType w:val="multilevel"/>
    <w:tmpl w:val="5B22C3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0AC5550"/>
    <w:multiLevelType w:val="multilevel"/>
    <w:tmpl w:val="3CCE011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420557C"/>
    <w:multiLevelType w:val="multilevel"/>
    <w:tmpl w:val="B832003E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8C42F0"/>
    <w:multiLevelType w:val="multilevel"/>
    <w:tmpl w:val="575A68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F61C3A"/>
    <w:multiLevelType w:val="multilevel"/>
    <w:tmpl w:val="079ADA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345723"/>
    <w:multiLevelType w:val="multilevel"/>
    <w:tmpl w:val="383E1B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B79760C"/>
    <w:multiLevelType w:val="multilevel"/>
    <w:tmpl w:val="09EAD0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BE5256B"/>
    <w:multiLevelType w:val="multilevel"/>
    <w:tmpl w:val="0E147114"/>
    <w:lvl w:ilvl="0">
      <w:start w:val="1"/>
      <w:numFmt w:val="bullet"/>
      <w:lvlText w:val="+"/>
      <w:lvlJc w:val="left"/>
      <w:pPr>
        <w:ind w:left="720" w:hanging="36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A804C9"/>
    <w:multiLevelType w:val="multilevel"/>
    <w:tmpl w:val="2C122C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95BDB"/>
    <w:multiLevelType w:val="multilevel"/>
    <w:tmpl w:val="1270A7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2737"/>
    <w:multiLevelType w:val="multilevel"/>
    <w:tmpl w:val="2E6669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1E1EE9"/>
    <w:multiLevelType w:val="multilevel"/>
    <w:tmpl w:val="315CFFC8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C3A4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5FB6745"/>
    <w:multiLevelType w:val="multilevel"/>
    <w:tmpl w:val="447218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B57F0A"/>
    <w:multiLevelType w:val="multilevel"/>
    <w:tmpl w:val="E49E03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C7C8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08414DB"/>
    <w:multiLevelType w:val="multilevel"/>
    <w:tmpl w:val="A0402E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7A7D35"/>
    <w:multiLevelType w:val="multilevel"/>
    <w:tmpl w:val="7B5CDF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9573530"/>
    <w:multiLevelType w:val="multilevel"/>
    <w:tmpl w:val="73C6E8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988709E"/>
    <w:multiLevelType w:val="multilevel"/>
    <w:tmpl w:val="A97697F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A6470B"/>
    <w:multiLevelType w:val="multilevel"/>
    <w:tmpl w:val="457285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2301ED1"/>
    <w:multiLevelType w:val="multilevel"/>
    <w:tmpl w:val="DFA689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5656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25221E6"/>
    <w:multiLevelType w:val="multilevel"/>
    <w:tmpl w:val="7EA881F2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54C72FC"/>
    <w:multiLevelType w:val="multilevel"/>
    <w:tmpl w:val="150240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FB5541E"/>
    <w:multiLevelType w:val="multilevel"/>
    <w:tmpl w:val="EAE29EB2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5DF2E64"/>
    <w:multiLevelType w:val="multilevel"/>
    <w:tmpl w:val="E36E6E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5656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5"/>
  </w:num>
  <w:num w:numId="12">
    <w:abstractNumId w:val="2"/>
  </w:num>
  <w:num w:numId="13">
    <w:abstractNumId w:val="26"/>
  </w:num>
  <w:num w:numId="14">
    <w:abstractNumId w:val="20"/>
  </w:num>
  <w:num w:numId="15">
    <w:abstractNumId w:val="7"/>
  </w:num>
  <w:num w:numId="16">
    <w:abstractNumId w:val="19"/>
  </w:num>
  <w:num w:numId="17">
    <w:abstractNumId w:val="24"/>
  </w:num>
  <w:num w:numId="18">
    <w:abstractNumId w:val="22"/>
  </w:num>
  <w:num w:numId="19">
    <w:abstractNumId w:val="17"/>
  </w:num>
  <w:num w:numId="20">
    <w:abstractNumId w:val="21"/>
  </w:num>
  <w:num w:numId="21">
    <w:abstractNumId w:val="6"/>
  </w:num>
  <w:num w:numId="22">
    <w:abstractNumId w:val="25"/>
  </w:num>
  <w:num w:numId="23">
    <w:abstractNumId w:val="0"/>
  </w:num>
  <w:num w:numId="24">
    <w:abstractNumId w:val="27"/>
  </w:num>
  <w:num w:numId="25">
    <w:abstractNumId w:val="13"/>
  </w:num>
  <w:num w:numId="26">
    <w:abstractNumId w:val="3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C"/>
    <w:rsid w:val="0014446C"/>
    <w:rsid w:val="00272490"/>
    <w:rsid w:val="00275C2E"/>
    <w:rsid w:val="00A00769"/>
    <w:rsid w:val="00A61AFB"/>
    <w:rsid w:val="00B1043C"/>
    <w:rsid w:val="00B64883"/>
    <w:rsid w:val="00E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9101"/>
  <w15:docId w15:val="{D7E394AA-BFC5-437C-ADA9-D02366F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656A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F27D92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27D92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ind w:firstLine="4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color w:val="55656A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line="190" w:lineRule="auto"/>
    </w:pPr>
    <w:rPr>
      <w:rFonts w:ascii="Arial" w:eastAsia="Arial" w:hAnsi="Arial" w:cs="Arial"/>
      <w:color w:val="F27D92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F27D92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 (5)"/>
    <w:basedOn w:val="Normal"/>
    <w:link w:val="Bodytext5"/>
    <w:pPr>
      <w:spacing w:line="252" w:lineRule="auto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fINPxcTn9JIjyIXXD4nqIj36RQ==">CgMxLjA4AHIhMTQ5ci1raTNtY2pUT1NPZi02SGowQWJmbU5oYUZ2NFdf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3</cp:revision>
  <dcterms:created xsi:type="dcterms:W3CDTF">2024-02-15T07:41:00Z</dcterms:created>
  <dcterms:modified xsi:type="dcterms:W3CDTF">2024-02-15T07:41:00Z</dcterms:modified>
</cp:coreProperties>
</file>