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AA7E" w14:textId="77777777" w:rsidR="00D767D6" w:rsidRDefault="00FC115E" w:rsidP="00C86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HNM: Annual Corporate Governance Report 2023</w:t>
      </w:r>
    </w:p>
    <w:p w14:paraId="782DAA1E" w14:textId="77777777" w:rsidR="00D767D6" w:rsidRDefault="00FC115E" w:rsidP="00C86F7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27, 2024, </w:t>
      </w:r>
      <w:proofErr w:type="spellStart"/>
      <w:r>
        <w:rPr>
          <w:rFonts w:ascii="Arial" w:hAnsi="Arial"/>
          <w:color w:val="010000"/>
          <w:sz w:val="20"/>
        </w:rPr>
        <w:t>Hanoimilk</w:t>
      </w:r>
      <w:proofErr w:type="spellEnd"/>
      <w:r>
        <w:rPr>
          <w:rFonts w:ascii="Arial" w:hAnsi="Arial"/>
          <w:color w:val="010000"/>
          <w:sz w:val="20"/>
        </w:rPr>
        <w:t xml:space="preserve"> JSC announced Report No. 02/2023/BC.HDQT on the corporate governance in 2023 as follows:</w:t>
      </w:r>
    </w:p>
    <w:p w14:paraId="0AE434F7" w14:textId="77777777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Hanoimilk</w:t>
      </w:r>
      <w:proofErr w:type="spellEnd"/>
      <w:r>
        <w:rPr>
          <w:rFonts w:ascii="Arial" w:hAnsi="Arial"/>
          <w:color w:val="010000"/>
          <w:sz w:val="20"/>
        </w:rPr>
        <w:t xml:space="preserve"> JSC</w:t>
      </w:r>
    </w:p>
    <w:p w14:paraId="6FD0A924" w14:textId="77777777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Km 9, Bac Thang Long - </w:t>
      </w:r>
      <w:proofErr w:type="spellStart"/>
      <w:r>
        <w:rPr>
          <w:rFonts w:ascii="Arial" w:hAnsi="Arial"/>
          <w:color w:val="010000"/>
          <w:sz w:val="20"/>
        </w:rPr>
        <w:t>Noi</w:t>
      </w:r>
      <w:proofErr w:type="spellEnd"/>
      <w:r>
        <w:rPr>
          <w:rFonts w:ascii="Arial" w:hAnsi="Arial"/>
          <w:color w:val="010000"/>
          <w:sz w:val="20"/>
        </w:rPr>
        <w:t xml:space="preserve"> Bai street, Quang Minh commune, Me Linh district, Hanoi city</w:t>
      </w:r>
    </w:p>
    <w:p w14:paraId="32F5B9DF" w14:textId="77777777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0243.8866567      Fax: 02438866564 Email: </w:t>
      </w:r>
      <w:hyperlink r:id="rId6">
        <w:r>
          <w:rPr>
            <w:rFonts w:ascii="Arial" w:hAnsi="Arial"/>
            <w:color w:val="010000"/>
            <w:sz w:val="20"/>
          </w:rPr>
          <w:t>info@hanoimilk.com</w:t>
        </w:r>
      </w:hyperlink>
    </w:p>
    <w:p w14:paraId="17E87A27" w14:textId="77777777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444,000,000,000.</w:t>
      </w:r>
    </w:p>
    <w:p w14:paraId="4CA2F159" w14:textId="77777777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HNM</w:t>
      </w:r>
    </w:p>
    <w:p w14:paraId="2211D29A" w14:textId="008DDF53" w:rsidR="00D767D6" w:rsidRDefault="00FC115E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C86F75">
        <w:rPr>
          <w:rFonts w:ascii="Arial" w:hAnsi="Arial"/>
          <w:color w:val="010000"/>
          <w:sz w:val="20"/>
        </w:rPr>
        <w:t>General Meeting</w:t>
      </w:r>
      <w:r w:rsidR="005A0CCB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Board of Directors,</w:t>
      </w:r>
      <w:r w:rsidR="005A0CCB">
        <w:rPr>
          <w:rFonts w:ascii="Arial" w:hAnsi="Arial"/>
          <w:color w:val="010000"/>
          <w:sz w:val="20"/>
        </w:rPr>
        <w:t xml:space="preserve"> Supervisory Board and 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/Manager.</w:t>
      </w:r>
    </w:p>
    <w:p w14:paraId="20C92DAC" w14:textId="4607C3F9" w:rsidR="00D767D6" w:rsidRDefault="00C86F75" w:rsidP="00C86F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FC115E">
        <w:rPr>
          <w:rFonts w:ascii="Arial" w:hAnsi="Arial"/>
          <w:color w:val="010000"/>
          <w:sz w:val="20"/>
        </w:rPr>
        <w:t>: Unimplemented.</w:t>
      </w:r>
    </w:p>
    <w:p w14:paraId="60E9DD26" w14:textId="345AA77C" w:rsidR="00D767D6" w:rsidRDefault="00FC115E" w:rsidP="00C86F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C86F7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06D5E774" w14:textId="475B3067" w:rsidR="00D767D6" w:rsidRDefault="00FC115E" w:rsidP="00C86F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C86F7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C86F75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622"/>
        <w:gridCol w:w="1183"/>
        <w:gridCol w:w="5587"/>
      </w:tblGrid>
      <w:tr w:rsidR="00D767D6" w14:paraId="22E49747" w14:textId="77777777" w:rsidTr="005A0CCB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D0F27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B25FC" w14:textId="5DBD1C49" w:rsidR="00D767D6" w:rsidRDefault="00FC115E" w:rsidP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C86F7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CEDB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87606" w14:textId="3AF31202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5A0CC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D767D6" w14:paraId="1B58A99D" w14:textId="77777777" w:rsidTr="005A0CCB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4321" w14:textId="77777777" w:rsidR="00D767D6" w:rsidRDefault="00D767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815A4" w14:textId="77777777" w:rsidR="00D767D6" w:rsidRDefault="00D767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30772" w14:textId="77777777" w:rsidR="00D767D6" w:rsidRDefault="00D767D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8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19C91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on the Company's activities in 2022 and development orientations for the next years (2023-2025)</w:t>
            </w:r>
          </w:p>
          <w:p w14:paraId="47806621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on the results of production and business activities in 2022 and the audited financial statements by TPP Auditing Company Limited.</w:t>
            </w:r>
          </w:p>
          <w:p w14:paraId="23DAD8C8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plan for 2023 of the Company</w:t>
            </w:r>
          </w:p>
          <w:p w14:paraId="1DBB2D80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Supervisory Board on the management activities of the Board of Directors and the Board of Managers in 2022</w:t>
            </w:r>
          </w:p>
          <w:p w14:paraId="30CD4DDC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Resolution on not paying dividends in 2022</w:t>
            </w:r>
          </w:p>
          <w:p w14:paraId="0B44C100" w14:textId="77777777" w:rsidR="00D767D6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and authorize the Board of Directors to re-select an audit company for the Financial Statements in 2023 of the Company.</w:t>
            </w:r>
          </w:p>
          <w:p w14:paraId="4F30B9E7" w14:textId="5EF2D052" w:rsidR="00FC115E" w:rsidRDefault="00FC11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Approve on implementing the </w:t>
            </w:r>
            <w:r w:rsidR="005A0CCB">
              <w:rPr>
                <w:rFonts w:ascii="Arial" w:hAnsi="Arial"/>
                <w:color w:val="010000"/>
                <w:sz w:val="20"/>
              </w:rPr>
              <w:t>issue</w:t>
            </w:r>
            <w:r>
              <w:rPr>
                <w:rFonts w:ascii="Arial" w:hAnsi="Arial"/>
                <w:color w:val="010000"/>
                <w:sz w:val="20"/>
              </w:rPr>
              <w:t xml:space="preserve"> of private placement shares (Phase 1) to exchange debts and raise capital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Hanoimilk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JSC</w:t>
            </w:r>
          </w:p>
        </w:tc>
      </w:tr>
      <w:tr w:rsidR="00D767D6" w14:paraId="0B3C00B5" w14:textId="77777777" w:rsidTr="005A0CCB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FA59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102E0" w14:textId="41B7ED6A" w:rsidR="00D767D6" w:rsidRDefault="00FC115E" w:rsidP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8119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2023</w:t>
            </w:r>
          </w:p>
        </w:tc>
        <w:tc>
          <w:tcPr>
            <w:tcW w:w="558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7628A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7F3D88D" w14:textId="77777777" w:rsidR="00D767D6" w:rsidRDefault="00D767D6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474D0107" w14:textId="402B2FD3" w:rsidR="00D767D6" w:rsidRDefault="005A0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 </w:t>
      </w:r>
      <w:r w:rsidR="00FC115E">
        <w:rPr>
          <w:rFonts w:ascii="Arial" w:hAnsi="Arial"/>
          <w:color w:val="010000"/>
          <w:sz w:val="20"/>
        </w:rPr>
        <w:t>Board of Directors (Report of 2023):</w:t>
      </w:r>
    </w:p>
    <w:p w14:paraId="702D3B36" w14:textId="77777777" w:rsidR="00D767D6" w:rsidRDefault="00FC1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1"/>
        <w:tblW w:w="9017" w:type="dxa"/>
        <w:tblLayout w:type="fixed"/>
        <w:tblLook w:val="0400" w:firstRow="0" w:lastRow="0" w:firstColumn="0" w:lastColumn="0" w:noHBand="0" w:noVBand="1"/>
      </w:tblPr>
      <w:tblGrid>
        <w:gridCol w:w="760"/>
        <w:gridCol w:w="2533"/>
        <w:gridCol w:w="2018"/>
        <w:gridCol w:w="1877"/>
        <w:gridCol w:w="1829"/>
      </w:tblGrid>
      <w:tr w:rsidR="00D767D6" w14:paraId="531D2222" w14:textId="77777777"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5865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0B8D1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ED64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F766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767D6" w14:paraId="3D78A369" w14:textId="77777777"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3435A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B94BC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BD40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A08A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9F42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D767D6" w14:paraId="603A6DFE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1B6C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ED78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Ha Quang Tuan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E1B1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2608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D0736" w14:textId="77777777" w:rsidR="00D767D6" w:rsidRDefault="00D767D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7D6" w14:paraId="30D221AE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A9F23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7D0D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9AB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49EF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4A888" w14:textId="77777777" w:rsidR="00D767D6" w:rsidRDefault="00D767D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7D6" w14:paraId="0669845B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2D38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88D5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Ngo Kim Son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268F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Factory’s Manager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2A8D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3643D" w14:textId="77777777" w:rsidR="00D767D6" w:rsidRDefault="00D767D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7D6" w14:paraId="579AB4F2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744D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8C54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Duy Len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4C7B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 Manager for Ensuring Quality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FE8DD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55780" w14:textId="77777777" w:rsidR="00D767D6" w:rsidRDefault="00D767D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7D6" w14:paraId="1BAF95DB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C940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7FB3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Huong Thuy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DD7B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Supply Chain Manager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9FDD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C2A4D" w14:textId="77777777" w:rsidR="00D767D6" w:rsidRDefault="00D767D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A14A9C8" w14:textId="77777777" w:rsidR="00D767D6" w:rsidRDefault="00FC1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 (Annual Report 2023):</w:t>
      </w:r>
    </w:p>
    <w:tbl>
      <w:tblPr>
        <w:tblStyle w:val="a2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1328"/>
        <w:gridCol w:w="1286"/>
        <w:gridCol w:w="5940"/>
      </w:tblGrid>
      <w:tr w:rsidR="005A0CCB" w14:paraId="177916DA" w14:textId="77777777" w:rsidTr="005A0CCB">
        <w:tc>
          <w:tcPr>
            <w:tcW w:w="621" w:type="dxa"/>
          </w:tcPr>
          <w:p w14:paraId="45C2327A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28" w:type="dxa"/>
          </w:tcPr>
          <w:p w14:paraId="46173D79" w14:textId="61AA2152" w:rsidR="005A0CCB" w:rsidRDefault="005A0CCB" w:rsidP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</w:t>
            </w:r>
          </w:p>
        </w:tc>
        <w:tc>
          <w:tcPr>
            <w:tcW w:w="1286" w:type="dxa"/>
          </w:tcPr>
          <w:p w14:paraId="049E2BEB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</w:t>
            </w:r>
          </w:p>
        </w:tc>
        <w:tc>
          <w:tcPr>
            <w:tcW w:w="5940" w:type="dxa"/>
          </w:tcPr>
          <w:p w14:paraId="43078B7F" w14:textId="242EBDD2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5A0CCB" w14:paraId="1A08EF45" w14:textId="77777777" w:rsidTr="005A0CCB">
        <w:tc>
          <w:tcPr>
            <w:tcW w:w="621" w:type="dxa"/>
          </w:tcPr>
          <w:p w14:paraId="1B6E594D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28" w:type="dxa"/>
          </w:tcPr>
          <w:p w14:paraId="7364A9F9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01/2023/NQ.HDQT</w:t>
            </w:r>
          </w:p>
          <w:p w14:paraId="77D9AED6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51551D5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06, 2023</w:t>
            </w:r>
          </w:p>
          <w:p w14:paraId="4DF14F97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D872D65" w14:textId="77777777" w:rsidR="005A0CCB" w:rsidRDefault="005A0C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432"/>
                <w:tab w:val="left" w:pos="691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business activities in 2022.</w:t>
            </w:r>
          </w:p>
          <w:p w14:paraId="05E557DB" w14:textId="77777777" w:rsidR="005A0CCB" w:rsidRDefault="005A0C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Discuss the production and business plan for 2023 of the Company</w:t>
            </w:r>
          </w:p>
        </w:tc>
      </w:tr>
      <w:tr w:rsidR="005A0CCB" w14:paraId="710560D7" w14:textId="77777777" w:rsidTr="005A0CCB">
        <w:tc>
          <w:tcPr>
            <w:tcW w:w="621" w:type="dxa"/>
          </w:tcPr>
          <w:p w14:paraId="63CFDD8A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28" w:type="dxa"/>
          </w:tcPr>
          <w:p w14:paraId="3872EF2B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.HDQT</w:t>
            </w:r>
          </w:p>
          <w:p w14:paraId="2C4E1E03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BE22751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May 04,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  <w:p w14:paraId="3E0B1A2E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AF822B0" w14:textId="7D9CB174" w:rsidR="005A0CCB" w:rsidRDefault="005A0C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Decision on holding the 20th Annual General Meeting 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June 17, 2023.</w:t>
            </w:r>
          </w:p>
          <w:p w14:paraId="2C579AD2" w14:textId="5224F118" w:rsidR="005A0CCB" w:rsidRDefault="005A0C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record date on May 25, 2023 for the list of shareholders attending the 20th Annual General Meeting.</w:t>
            </w:r>
          </w:p>
        </w:tc>
      </w:tr>
      <w:tr w:rsidR="005A0CCB" w14:paraId="148F16B8" w14:textId="77777777" w:rsidTr="005A0CCB">
        <w:tc>
          <w:tcPr>
            <w:tcW w:w="621" w:type="dxa"/>
          </w:tcPr>
          <w:p w14:paraId="7661098B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28" w:type="dxa"/>
          </w:tcPr>
          <w:p w14:paraId="03B81A01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06/2023/NQ.HDQT</w:t>
            </w:r>
          </w:p>
        </w:tc>
        <w:tc>
          <w:tcPr>
            <w:tcW w:w="1286" w:type="dxa"/>
          </w:tcPr>
          <w:p w14:paraId="48CA3942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5940" w:type="dxa"/>
          </w:tcPr>
          <w:p w14:paraId="110368DA" w14:textId="766CB1CA" w:rsidR="005A0CCB" w:rsidRDefault="005A0C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 the private placement to swap debts and raise capital</w:t>
            </w:r>
          </w:p>
          <w:p w14:paraId="4ADA3ECC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A0CCB" w14:paraId="7C83417E" w14:textId="77777777" w:rsidTr="005A0CCB">
        <w:tc>
          <w:tcPr>
            <w:tcW w:w="621" w:type="dxa"/>
          </w:tcPr>
          <w:p w14:paraId="50673E40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28" w:type="dxa"/>
          </w:tcPr>
          <w:p w14:paraId="23CBF9F0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07/2023/NQ.HDQT</w:t>
            </w:r>
          </w:p>
        </w:tc>
        <w:tc>
          <w:tcPr>
            <w:tcW w:w="1286" w:type="dxa"/>
          </w:tcPr>
          <w:p w14:paraId="63403A1C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5940" w:type="dxa"/>
          </w:tcPr>
          <w:p w14:paraId="320240C7" w14:textId="5459B2D6" w:rsidR="005A0CCB" w:rsidRDefault="005A0C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the time for exchanging additional issue shares and the time for submitting money to purchase additional issue shares as stipulated in Resolution No. 06/2023/NQ.HDQT</w:t>
            </w:r>
          </w:p>
        </w:tc>
      </w:tr>
      <w:tr w:rsidR="005A0CCB" w14:paraId="1F1DAE81" w14:textId="77777777" w:rsidTr="005A0CCB">
        <w:tc>
          <w:tcPr>
            <w:tcW w:w="621" w:type="dxa"/>
          </w:tcPr>
          <w:p w14:paraId="527487BE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28" w:type="dxa"/>
          </w:tcPr>
          <w:p w14:paraId="5B885F5C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08/2023/NQ.HDQT</w:t>
            </w:r>
          </w:p>
        </w:tc>
        <w:tc>
          <w:tcPr>
            <w:tcW w:w="1286" w:type="dxa"/>
          </w:tcPr>
          <w:p w14:paraId="19BF3660" w14:textId="77777777" w:rsidR="005A0CCB" w:rsidRDefault="005A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06, 2023</w:t>
            </w:r>
          </w:p>
        </w:tc>
        <w:tc>
          <w:tcPr>
            <w:tcW w:w="5940" w:type="dxa"/>
          </w:tcPr>
          <w:p w14:paraId="5795AE35" w14:textId="6638C648" w:rsidR="005A0CCB" w:rsidRDefault="005A0C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75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results of the issue of private placement shares for debt exchange and capital mobilization.</w:t>
            </w:r>
          </w:p>
        </w:tc>
      </w:tr>
    </w:tbl>
    <w:p w14:paraId="50BC60BB" w14:textId="7A4CA92E" w:rsidR="00D767D6" w:rsidRDefault="00FC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65D7C5EA" w14:textId="77777777" w:rsidR="00D767D6" w:rsidRDefault="00FC11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308"/>
        <w:gridCol w:w="1356"/>
        <w:gridCol w:w="2164"/>
        <w:gridCol w:w="2481"/>
      </w:tblGrid>
      <w:tr w:rsidR="00D767D6" w14:paraId="40392F3F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0960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385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A5B1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1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5859B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355A3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D767D6" w14:paraId="72941A88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66657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10B5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Dao Bich Thuy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E076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1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F477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6B2B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</w:t>
            </w:r>
          </w:p>
        </w:tc>
      </w:tr>
      <w:tr w:rsidR="00D767D6" w14:paraId="6BA821E5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AC8B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40C4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Hai Ly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6A3F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  <w:p w14:paraId="155CA40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 the Supervisory Board:</w:t>
            </w:r>
          </w:p>
        </w:tc>
        <w:tc>
          <w:tcPr>
            <w:tcW w:w="21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D78F6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2021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635B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D767D6" w14:paraId="55953544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93BA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2AAC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Nam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E2261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1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9C2C7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2022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1F01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</w:tr>
    </w:tbl>
    <w:p w14:paraId="58295C66" w14:textId="77777777" w:rsidR="00D767D6" w:rsidRDefault="00FC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Board.</w:t>
      </w:r>
    </w:p>
    <w:tbl>
      <w:tblPr>
        <w:tblStyle w:val="a4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2468"/>
        <w:gridCol w:w="1627"/>
        <w:gridCol w:w="2133"/>
        <w:gridCol w:w="2140"/>
      </w:tblGrid>
      <w:tr w:rsidR="00D767D6" w14:paraId="05B03B94" w14:textId="77777777" w:rsidTr="005A0CCB">
        <w:tc>
          <w:tcPr>
            <w:tcW w:w="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AA81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E8D6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3CAE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D323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Qualifications</w:t>
            </w:r>
          </w:p>
        </w:tc>
        <w:tc>
          <w:tcPr>
            <w:tcW w:w="21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BC6A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D767D6" w14:paraId="7176E40C" w14:textId="77777777" w:rsidTr="005A0CCB">
        <w:tc>
          <w:tcPr>
            <w:tcW w:w="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A4081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9875B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Ngo Kim Son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A768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November 06,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1980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1723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Food Technologist</w:t>
            </w:r>
          </w:p>
        </w:tc>
        <w:tc>
          <w:tcPr>
            <w:tcW w:w="21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817D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01, 2014</w:t>
            </w:r>
          </w:p>
        </w:tc>
      </w:tr>
      <w:tr w:rsidR="00D767D6" w14:paraId="5F96D8FF" w14:textId="77777777" w:rsidTr="005A0CCB">
        <w:tc>
          <w:tcPr>
            <w:tcW w:w="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79DD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4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00AB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Huong Thuy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7E9D1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1980</w:t>
            </w:r>
          </w:p>
        </w:tc>
        <w:tc>
          <w:tcPr>
            <w:tcW w:w="2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1E0E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Food Technologist</w:t>
            </w:r>
          </w:p>
        </w:tc>
        <w:tc>
          <w:tcPr>
            <w:tcW w:w="21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CC53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2023</w:t>
            </w:r>
          </w:p>
        </w:tc>
      </w:tr>
    </w:tbl>
    <w:p w14:paraId="390F9ECE" w14:textId="77777777" w:rsidR="00D767D6" w:rsidRDefault="00FC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951"/>
        <w:gridCol w:w="2458"/>
        <w:gridCol w:w="2750"/>
      </w:tblGrid>
      <w:tr w:rsidR="00D767D6" w14:paraId="1CECC812" w14:textId="77777777">
        <w:tc>
          <w:tcPr>
            <w:tcW w:w="18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C1B7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60A1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D926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6844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D767D6" w14:paraId="62C68E93" w14:textId="77777777">
        <w:tc>
          <w:tcPr>
            <w:tcW w:w="18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42A30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Tung Lam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3507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1983</w:t>
            </w:r>
          </w:p>
        </w:tc>
        <w:tc>
          <w:tcPr>
            <w:tcW w:w="2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408E8" w14:textId="71ED292F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Business Administration – </w:t>
            </w:r>
            <w:r w:rsidR="00C86F75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Corporate Finance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66DF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2011</w:t>
            </w:r>
          </w:p>
        </w:tc>
      </w:tr>
    </w:tbl>
    <w:p w14:paraId="765898E2" w14:textId="77777777" w:rsidR="00D767D6" w:rsidRDefault="00FC115E" w:rsidP="005A0CCB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FEDFD21" w14:textId="57654373" w:rsidR="00D767D6" w:rsidRDefault="00FC115E" w:rsidP="005A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major shareholders, PDMR, or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 transaction incurred.</w:t>
      </w:r>
    </w:p>
    <w:p w14:paraId="2814AB8A" w14:textId="48F528E8" w:rsidR="00D767D6" w:rsidRDefault="00FC115E" w:rsidP="005A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 transaction incurred.</w:t>
      </w:r>
    </w:p>
    <w:p w14:paraId="3C058AB9" w14:textId="77777777" w:rsidR="00D767D6" w:rsidRDefault="00FC115E" w:rsidP="005A0C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3BA7C0E3" w14:textId="2DAEC64E" w:rsidR="00D767D6" w:rsidRPr="005A0CCB" w:rsidRDefault="00FC115E" w:rsidP="005A0C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in which members of the Board of Directors, members of the Supervisory Board, the Manager (the 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8A3455">
        <w:rPr>
          <w:rFonts w:ascii="Arial" w:hAnsi="Arial"/>
          <w:color w:val="010000"/>
          <w:sz w:val="20"/>
        </w:rPr>
        <w:t xml:space="preserve"> of the Board of Directors, </w:t>
      </w:r>
      <w:r>
        <w:rPr>
          <w:rFonts w:ascii="Arial" w:hAnsi="Arial"/>
          <w:color w:val="010000"/>
          <w:sz w:val="20"/>
        </w:rPr>
        <w:t xml:space="preserve">Executive Manager (the 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time of reporting). </w:t>
      </w: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1688"/>
        <w:gridCol w:w="853"/>
        <w:gridCol w:w="1044"/>
        <w:gridCol w:w="1126"/>
        <w:gridCol w:w="944"/>
        <w:gridCol w:w="1407"/>
        <w:gridCol w:w="977"/>
        <w:gridCol w:w="531"/>
      </w:tblGrid>
      <w:tr w:rsidR="008A3455" w:rsidRPr="00240C05" w14:paraId="709B2793" w14:textId="77777777" w:rsidTr="008A3455">
        <w:tc>
          <w:tcPr>
            <w:tcW w:w="256" w:type="pct"/>
            <w:shd w:val="clear" w:color="auto" w:fill="auto"/>
            <w:vAlign w:val="center"/>
          </w:tcPr>
          <w:p w14:paraId="12D6647A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5D946CE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organization/individual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B7E264D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Company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1902D2A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NSH* No., Date of issue, Place of issue of NSH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219241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office/Contact address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9F493F6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F72FC4" w14:textId="14CD3C41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Resolution/Board Decision No. or General Mandate/Decision of General Meeting</w:t>
            </w:r>
            <w:r>
              <w:rPr>
                <w:rFonts w:ascii="Arial" w:hAnsi="Arial"/>
                <w:sz w:val="20"/>
              </w:rPr>
              <w:t xml:space="preserve"> No. that has been approved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AF032A4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 quantity, total value of transaction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BD39F83" w14:textId="77777777" w:rsidR="005A0CCB" w:rsidRPr="00240C05" w:rsidRDefault="005A0CCB" w:rsidP="004C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8A3455" w:rsidRPr="00240C05" w14:paraId="4067E7D8" w14:textId="77777777" w:rsidTr="008A3455">
        <w:tc>
          <w:tcPr>
            <w:tcW w:w="256" w:type="pct"/>
            <w:shd w:val="clear" w:color="auto" w:fill="auto"/>
            <w:vAlign w:val="center"/>
          </w:tcPr>
          <w:p w14:paraId="0B4A1B15" w14:textId="77777777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4FD9EAA" w14:textId="4F8B44AC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Mai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0BCB5C8" w14:textId="0389608F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Under the same Chair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2965AD9" w14:textId="51E976FF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0103009618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D282295" w14:textId="221A0A6F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Block A, People’s Committee of Linh Nam Ward, Hoang </w:t>
            </w:r>
            <w:r>
              <w:rPr>
                <w:rFonts w:ascii="Arial" w:hAnsi="Arial"/>
                <w:sz w:val="20"/>
              </w:rPr>
              <w:lastRenderedPageBreak/>
              <w:t xml:space="preserve">Mai </w:t>
            </w:r>
            <w:r>
              <w:rPr>
                <w:rFonts w:ascii="Arial" w:hAnsi="Arial"/>
                <w:sz w:val="20"/>
              </w:rPr>
              <w:t>District, Hanoi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7C374B6" w14:textId="77777777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614801" w14:textId="77777777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 2023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F1418B2" w14:textId="77777777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No. 01/2023/NQ-HDQT dated January 3, 2023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32E255" w14:textId="5B390291" w:rsidR="008A3455" w:rsidRPr="00240C05" w:rsidRDefault="008A3455" w:rsidP="008A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368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Contractual milk distribution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921CAA5" w14:textId="77777777" w:rsidR="008A3455" w:rsidRPr="00240C05" w:rsidRDefault="008A3455" w:rsidP="008A345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242CC4" w14:textId="77777777" w:rsidR="005A0CCB" w:rsidRDefault="005A0CCB" w:rsidP="005A0C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2D9F8A99" w14:textId="7E8D9660" w:rsidR="00D767D6" w:rsidRDefault="00FC115E" w:rsidP="008A345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</w:t>
      </w:r>
      <w:r w:rsidR="008A3455">
        <w:rPr>
          <w:rFonts w:ascii="Arial" w:hAnsi="Arial"/>
          <w:color w:val="010000"/>
          <w:sz w:val="20"/>
        </w:rPr>
        <w:t xml:space="preserve">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8A3455">
        <w:rPr>
          <w:rFonts w:ascii="Arial" w:hAnsi="Arial"/>
          <w:color w:val="010000"/>
          <w:sz w:val="20"/>
        </w:rPr>
        <w:t xml:space="preserve">who 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are member</w:t>
      </w:r>
      <w:r w:rsidR="008A3455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 transaction incurred.</w:t>
      </w:r>
    </w:p>
    <w:p w14:paraId="5C94EA05" w14:textId="117B3350" w:rsidR="00D767D6" w:rsidRDefault="00FC115E" w:rsidP="008A345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8A3455">
        <w:rPr>
          <w:rFonts w:ascii="Arial" w:hAnsi="Arial"/>
          <w:color w:val="010000"/>
          <w:sz w:val="20"/>
        </w:rPr>
        <w:t>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C86F7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managers. No transaction incurred.</w:t>
      </w:r>
    </w:p>
    <w:p w14:paraId="57E2A4DF" w14:textId="3B0FA2AD" w:rsidR="00D767D6" w:rsidRDefault="00FC115E" w:rsidP="008A345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of 2023)</w:t>
      </w:r>
    </w:p>
    <w:p w14:paraId="2CDBDDCC" w14:textId="008CFC9B" w:rsidR="00D767D6" w:rsidRDefault="00FC115E" w:rsidP="008A34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C86F7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</w:t>
      </w:r>
    </w:p>
    <w:tbl>
      <w:tblPr>
        <w:tblStyle w:val="a6"/>
        <w:tblW w:w="9017" w:type="dxa"/>
        <w:tblLayout w:type="fixed"/>
        <w:tblLook w:val="0400" w:firstRow="0" w:lastRow="0" w:firstColumn="0" w:lastColumn="0" w:noHBand="0" w:noVBand="1"/>
      </w:tblPr>
      <w:tblGrid>
        <w:gridCol w:w="629"/>
        <w:gridCol w:w="1288"/>
        <w:gridCol w:w="1317"/>
        <w:gridCol w:w="1103"/>
        <w:gridCol w:w="1087"/>
        <w:gridCol w:w="1021"/>
        <w:gridCol w:w="1200"/>
        <w:gridCol w:w="1372"/>
      </w:tblGrid>
      <w:tr w:rsidR="00D767D6" w14:paraId="10EED237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8AC56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80ED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D753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79507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D0EA6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7DFB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bonus, etc.)</w:t>
            </w:r>
          </w:p>
        </w:tc>
      </w:tr>
      <w:tr w:rsidR="00D767D6" w14:paraId="3DAB1A4A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3542F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15E7F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31CA8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F2FCD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98BF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C2B72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B99A4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211A0" w14:textId="77777777" w:rsidR="00D767D6" w:rsidRDefault="00D7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767D6" w14:paraId="069E53C6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C69C3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258B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Quang Tuan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286D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C2446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4375000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86B6C" w14:textId="7D9719A1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21.88%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DC77B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14,075,000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A8AD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31.70%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CDC5B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6, 2023; Debt swap</w:t>
            </w:r>
          </w:p>
        </w:tc>
      </w:tr>
      <w:tr w:rsidR="00D767D6" w14:paraId="2EA7FB10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075B3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0124B" w14:textId="0070A26E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Tung Lam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A9EEA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F556C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CBE9D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0.125%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9779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425,000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D7435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0.957%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FF071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6, 2023; Debt swap</w:t>
            </w:r>
          </w:p>
        </w:tc>
      </w:tr>
      <w:tr w:rsidR="00D767D6" w14:paraId="41BA12B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770BF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84E16" w14:textId="492E280D" w:rsidR="00D767D6" w:rsidRDefault="00FC115E" w:rsidP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Hoang Mai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86247" w14:textId="55D33DCD" w:rsidR="00D767D6" w:rsidRDefault="00C86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FC115E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F3828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1,250,000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9FB79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6.25%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1197E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5,550,000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BA3A7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12.50%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2364D" w14:textId="77777777" w:rsidR="00D767D6" w:rsidRDefault="00FC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6, 2023; Debt swap</w:t>
            </w:r>
          </w:p>
        </w:tc>
      </w:tr>
    </w:tbl>
    <w:p w14:paraId="1A6DFD02" w14:textId="77777777" w:rsidR="00D767D6" w:rsidRDefault="00D767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767D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46"/>
    <w:multiLevelType w:val="multilevel"/>
    <w:tmpl w:val="4BF0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D26"/>
    <w:multiLevelType w:val="multilevel"/>
    <w:tmpl w:val="743E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6053"/>
    <w:multiLevelType w:val="multilevel"/>
    <w:tmpl w:val="22A4736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C673DFD"/>
    <w:multiLevelType w:val="multilevel"/>
    <w:tmpl w:val="9676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565B"/>
    <w:multiLevelType w:val="multilevel"/>
    <w:tmpl w:val="6AB060B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5E6B6A"/>
    <w:multiLevelType w:val="multilevel"/>
    <w:tmpl w:val="071E68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112A9F"/>
    <w:multiLevelType w:val="multilevel"/>
    <w:tmpl w:val="A29482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65381B"/>
    <w:multiLevelType w:val="multilevel"/>
    <w:tmpl w:val="28AE1F16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E939E0"/>
    <w:multiLevelType w:val="multilevel"/>
    <w:tmpl w:val="00AAC9B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8C6F20"/>
    <w:multiLevelType w:val="multilevel"/>
    <w:tmpl w:val="D668FF86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E6699C"/>
    <w:multiLevelType w:val="multilevel"/>
    <w:tmpl w:val="9A6A78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6"/>
    <w:rsid w:val="005A0CCB"/>
    <w:rsid w:val="008A3455"/>
    <w:rsid w:val="00C86F75"/>
    <w:rsid w:val="00D767D6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8927E"/>
  <w15:docId w15:val="{703F4B04-6903-40D9-85C4-B59208E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84061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84061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84061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500"/>
    </w:pPr>
    <w:rPr>
      <w:rFonts w:ascii="Arial" w:eastAsia="Arial" w:hAnsi="Arial" w:cs="Arial"/>
      <w:sz w:val="42"/>
      <w:szCs w:val="42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C84061"/>
      <w:sz w:val="14"/>
      <w:szCs w:val="14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C84061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09" w:lineRule="auto"/>
      <w:outlineLvl w:val="0"/>
    </w:pPr>
    <w:rPr>
      <w:rFonts w:ascii="Times New Roman" w:eastAsia="Times New Roman" w:hAnsi="Times New Roman" w:cs="Times New Roman"/>
      <w:i/>
      <w:iCs/>
      <w:color w:val="C84061"/>
      <w:sz w:val="26"/>
      <w:szCs w:val="26"/>
    </w:rPr>
  </w:style>
  <w:style w:type="paragraph" w:customStyle="1" w:styleId="Khc0">
    <w:name w:val="Khác"/>
    <w:basedOn w:val="Normal"/>
    <w:link w:val="Khc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2"/>
      <w:szCs w:val="12"/>
    </w:rPr>
  </w:style>
  <w:style w:type="table" w:styleId="TableGrid">
    <w:name w:val="Table Grid"/>
    <w:basedOn w:val="TableNormal"/>
    <w:uiPriority w:val="39"/>
    <w:rsid w:val="00D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noimil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R6GK9QmIQvBTCLh/rAQiY4hWQ==">CgMxLjAyCGguZ2pkZ3hzOAByITFBbmRyWHZsV0dNcHdmam1PV3A1TUMwTHFyU0VhOFRRVA==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2024-02-16T03:09:00Z</dcterms:created>
  <dcterms:modified xsi:type="dcterms:W3CDTF">2024-02-16T03:14:00Z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8c0b2499798711631ba2c1ccb8ee6f078c8dce483e00902b2fb47c2546d9d565</vt:lpwstr>
  </property>
</Properties>
</file>