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95A7" w14:textId="77777777" w:rsidR="00A27052" w:rsidRPr="00B20833" w:rsidRDefault="00B20833" w:rsidP="00B20833">
      <w:pP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NAG: Annual Corporate Governance Report 2023</w:t>
      </w:r>
    </w:p>
    <w:p w14:paraId="59C5EA47" w14:textId="77777777" w:rsidR="00A27052" w:rsidRPr="00B20833" w:rsidRDefault="00B20833" w:rsidP="006C6A50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30, 2024, Nagakawa Group JSC announced Report No. 01/2024/BC-HDQT on the Corporate Governance in 2023 as follows:</w:t>
      </w:r>
    </w:p>
    <w:p w14:paraId="18B991FE" w14:textId="77777777" w:rsidR="00A27052" w:rsidRPr="00B20833" w:rsidRDefault="00B20833" w:rsidP="006C6A50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Nagakawa Group JSC</w:t>
      </w:r>
    </w:p>
    <w:p w14:paraId="22227BD7" w14:textId="77777777" w:rsidR="00A27052" w:rsidRPr="00B20833" w:rsidRDefault="00B20833" w:rsidP="006C6A50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 office address: Zone 9, Phuc Thang ward, Phuc Yen town, Vinh Phuc province</w:t>
      </w:r>
    </w:p>
    <w:p w14:paraId="1FF5B449" w14:textId="77777777" w:rsidR="00A27052" w:rsidRPr="00B20833" w:rsidRDefault="00B20833" w:rsidP="006C6A50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(84-211) 3873568         Fax: (84-211) 3878020</w:t>
      </w:r>
    </w:p>
    <w:p w14:paraId="30120B71" w14:textId="77777777" w:rsidR="00A27052" w:rsidRPr="00B20833" w:rsidRDefault="00B20833" w:rsidP="006C6A50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316,465,410,000</w:t>
      </w:r>
    </w:p>
    <w:p w14:paraId="3F4DCD5C" w14:textId="77777777" w:rsidR="00A27052" w:rsidRPr="00B20833" w:rsidRDefault="00B20833" w:rsidP="006C6A50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NAG</w:t>
      </w:r>
    </w:p>
    <w:p w14:paraId="26CC1E10" w14:textId="77777777" w:rsidR="00A27052" w:rsidRPr="00B20833" w:rsidRDefault="00B20833" w:rsidP="006C6A50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 The General Meeting of Shareholders, the Board of Directors, the Supervisory Board, and the General Manager.</w:t>
      </w:r>
    </w:p>
    <w:p w14:paraId="7FAA04E8" w14:textId="77777777" w:rsidR="00A27052" w:rsidRPr="00B20833" w:rsidRDefault="00B20833" w:rsidP="006C6A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</w:t>
      </w:r>
    </w:p>
    <w:p w14:paraId="388B21DB" w14:textId="658B2F4D" w:rsidR="00A27052" w:rsidRPr="00B20833" w:rsidRDefault="00B20833" w:rsidP="006C6A50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2023, Nagakawa Group JSC organized the Annual General Meeting of Shareholders on April 5, 2023</w:t>
      </w:r>
      <w:r w:rsidR="006C6A50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in accordance with the sequence of steps prescribed in the Law on Enterprise, the Company's Charter as well as other provisions of </w:t>
      </w:r>
      <w:r w:rsidR="006C6A50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>Law. The General Meeting of Shareholders approved the General Mandate 2023 with the following specific contents:</w:t>
      </w:r>
    </w:p>
    <w:tbl>
      <w:tblPr>
        <w:tblStyle w:val="a"/>
        <w:tblW w:w="5000" w:type="pct"/>
        <w:jc w:val="center"/>
        <w:tblLook w:val="0400" w:firstRow="0" w:lastRow="0" w:firstColumn="0" w:lastColumn="0" w:noHBand="0" w:noVBand="1"/>
      </w:tblPr>
      <w:tblGrid>
        <w:gridCol w:w="732"/>
        <w:gridCol w:w="1355"/>
        <w:gridCol w:w="1003"/>
        <w:gridCol w:w="5927"/>
      </w:tblGrid>
      <w:tr w:rsidR="00A27052" w:rsidRPr="00B20833" w14:paraId="7BEE4AA7" w14:textId="77777777" w:rsidTr="00B20833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EA5DA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D671F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Mandate</w:t>
            </w:r>
          </w:p>
          <w:p w14:paraId="1D7A02AE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58EC5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3194B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A27052" w:rsidRPr="00B20833" w14:paraId="0D2A8A77" w14:textId="77777777" w:rsidTr="00B20833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2E4F8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70B7D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01/2023/NQ-DHDCD-NAG</w:t>
            </w:r>
          </w:p>
          <w:p w14:paraId="62506498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6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FFF2C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3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D20A9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Annual General Meeting of Shareholders 2023 approve the following contents:</w:t>
            </w:r>
          </w:p>
          <w:p w14:paraId="34BADFE4" w14:textId="77777777" w:rsidR="00A27052" w:rsidRPr="00B20833" w:rsidRDefault="00B20833" w:rsidP="00B208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of the Board of Directors and the Board of Management in 2022.</w:t>
            </w:r>
          </w:p>
          <w:p w14:paraId="002C0845" w14:textId="77777777" w:rsidR="00A27052" w:rsidRPr="00B20833" w:rsidRDefault="00B20833" w:rsidP="00B208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of the Supervisory Board in 2022.</w:t>
            </w:r>
          </w:p>
          <w:p w14:paraId="3445FBC2" w14:textId="77777777" w:rsidR="00A27052" w:rsidRPr="00B20833" w:rsidRDefault="00B20833" w:rsidP="00B208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of the Board of Directors on changes to the plan for using capital obtained from the public offering of shares in 2022.</w:t>
            </w:r>
          </w:p>
          <w:p w14:paraId="7BD82042" w14:textId="77777777" w:rsidR="00A27052" w:rsidRPr="00B20833" w:rsidRDefault="00B20833" w:rsidP="00B208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Proposal on the results of production and business activities in 2022 and the plan for production and business activities in 2023.</w:t>
            </w:r>
          </w:p>
          <w:p w14:paraId="2D5A89F3" w14:textId="77777777" w:rsidR="00A27052" w:rsidRPr="00B20833" w:rsidRDefault="00B20833" w:rsidP="00B208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Audited Financial Statements 2022.</w:t>
            </w:r>
          </w:p>
          <w:p w14:paraId="056B006E" w14:textId="77777777" w:rsidR="00A27052" w:rsidRPr="00B20833" w:rsidRDefault="00B20833" w:rsidP="00B208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remuneration of the Board of Directors and the Supervisory Board in 2022 and the remuneration plan in 2023.</w:t>
            </w:r>
          </w:p>
          <w:p w14:paraId="74FC2492" w14:textId="77777777" w:rsidR="00A27052" w:rsidRPr="00B20833" w:rsidRDefault="00B20833" w:rsidP="00B208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Profit distribution plan in 2022.</w:t>
            </w:r>
          </w:p>
          <w:p w14:paraId="0813E01E" w14:textId="77777777" w:rsidR="00A27052" w:rsidRPr="00B20833" w:rsidRDefault="00B20833" w:rsidP="00B208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selection of an audit company to audit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Financial Statements in 2023.</w:t>
            </w:r>
          </w:p>
          <w:p w14:paraId="7D8981BD" w14:textId="77777777" w:rsidR="00A27052" w:rsidRPr="00B20833" w:rsidRDefault="00B20833" w:rsidP="00B208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content of authorizing the Board of Directors to decide on transactions related to the transfer of share listing from the HNX exchange to the HOSE exchange.</w:t>
            </w:r>
          </w:p>
          <w:p w14:paraId="1F431B42" w14:textId="77777777" w:rsidR="00A27052" w:rsidRPr="00B20833" w:rsidRDefault="00B20833" w:rsidP="00B208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content of authorizing the Board of Directors to decide on transactions generating revenue and costs with affiliated parties.</w:t>
            </w:r>
          </w:p>
          <w:p w14:paraId="6C798685" w14:textId="77777777" w:rsidR="00A27052" w:rsidRPr="00B20833" w:rsidRDefault="00B20833" w:rsidP="00B208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content of authorizing the Board of Directors to decide on amending the Company's Charter.</w:t>
            </w:r>
          </w:p>
        </w:tc>
      </w:tr>
    </w:tbl>
    <w:p w14:paraId="340EAB4F" w14:textId="77777777" w:rsidR="00A27052" w:rsidRPr="00B20833" w:rsidRDefault="00B20833" w:rsidP="00B208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BOARD OF DIRECTORS</w:t>
      </w:r>
    </w:p>
    <w:p w14:paraId="31CEB264" w14:textId="77777777" w:rsidR="00A27052" w:rsidRPr="00B20833" w:rsidRDefault="00B20833" w:rsidP="00B20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658"/>
        <w:gridCol w:w="3362"/>
        <w:gridCol w:w="2310"/>
        <w:gridCol w:w="1293"/>
        <w:gridCol w:w="1394"/>
      </w:tblGrid>
      <w:tr w:rsidR="00A27052" w:rsidRPr="00B20833" w14:paraId="70A3C528" w14:textId="77777777" w:rsidTr="00B20833">
        <w:trPr>
          <w:tblHeader/>
        </w:trPr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E851C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8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57AC3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2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33A6B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501D3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A27052" w:rsidRPr="00B20833" w14:paraId="27E95182" w14:textId="77777777" w:rsidTr="00B20833"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F70A3" w14:textId="77777777" w:rsidR="00A27052" w:rsidRPr="00B20833" w:rsidRDefault="00A27052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6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106A4" w14:textId="77777777" w:rsidR="00A27052" w:rsidRPr="00B20833" w:rsidRDefault="00A27052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88ADC" w14:textId="77777777" w:rsidR="00A27052" w:rsidRPr="00B20833" w:rsidRDefault="00A27052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3E620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</w:t>
            </w:r>
          </w:p>
          <w:p w14:paraId="6860290C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39FE1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A27052" w:rsidRPr="00B20833" w14:paraId="50E5C45E" w14:textId="77777777" w:rsidTr="00B20833"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8A8BE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E438F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Ngoc Quy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2AA2E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76966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12, 2022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33ADC" w14:textId="77777777" w:rsidR="00A27052" w:rsidRPr="00B20833" w:rsidRDefault="00A27052" w:rsidP="00B2083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27052" w:rsidRPr="00B20833" w14:paraId="20AD35A6" w14:textId="77777777" w:rsidTr="00B20833"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B17B4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907CA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Huyen Thuong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CC172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Directors-cum-General Manager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63649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2017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D82BB" w14:textId="77777777" w:rsidR="00A27052" w:rsidRPr="00B20833" w:rsidRDefault="00A27052" w:rsidP="00B2083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27052" w:rsidRPr="00B20833" w14:paraId="07B0A60B" w14:textId="77777777" w:rsidTr="00B20833"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FE27E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0D6AA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Truong Dao Hai Ha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7F7E6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DF89D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2017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77282" w14:textId="77777777" w:rsidR="00A27052" w:rsidRPr="00B20833" w:rsidRDefault="00A27052" w:rsidP="00B2083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27052" w:rsidRPr="00B20833" w14:paraId="4215CD51" w14:textId="77777777" w:rsidTr="00B20833"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EAC0B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AF6BD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Doan Duc Hoa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89B36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72555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12, 2022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008FF" w14:textId="77777777" w:rsidR="00A27052" w:rsidRPr="00B20833" w:rsidRDefault="00A27052" w:rsidP="00B2083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27052" w:rsidRPr="00B20833" w14:paraId="50ADCAA6" w14:textId="77777777" w:rsidTr="00B20833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27C7C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E811C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Anh Tuan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BBD67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DF508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12, 2022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DFADE" w14:textId="77777777" w:rsidR="00A27052" w:rsidRPr="00B20833" w:rsidRDefault="00A27052" w:rsidP="00B2083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6441E64" w14:textId="77777777" w:rsidR="00A27052" w:rsidRPr="00B20833" w:rsidRDefault="00B20833" w:rsidP="00B20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7"/>
        <w:gridCol w:w="2637"/>
        <w:gridCol w:w="1223"/>
        <w:gridCol w:w="4660"/>
      </w:tblGrid>
      <w:tr w:rsidR="00A27052" w:rsidRPr="00B20833" w14:paraId="0F7D707F" w14:textId="77777777" w:rsidTr="00B20833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EC53B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15FA5" w14:textId="13C47F9A" w:rsidR="00A27052" w:rsidRPr="00B20833" w:rsidRDefault="00325726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Resolution/Board Decision </w:t>
            </w:r>
            <w:r w:rsidR="00B20833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F167A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E48D9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A27052" w:rsidRPr="00B20833" w14:paraId="6222A18B" w14:textId="77777777" w:rsidTr="00B20833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16C6F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9D64A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01/QDHDQT/NAG-23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E80F0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5, 2023</w:t>
            </w:r>
          </w:p>
        </w:tc>
        <w:tc>
          <w:tcPr>
            <w:tcW w:w="2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56FE5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On: Plan for production and business activities for Q1/2023</w:t>
            </w:r>
          </w:p>
        </w:tc>
      </w:tr>
      <w:tr w:rsidR="00A27052" w:rsidRPr="00B20833" w14:paraId="4AA06410" w14:textId="77777777" w:rsidTr="00B20833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C4D47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D7955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01/NQ-HDQT-NAG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471DF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10, 2023</w:t>
            </w:r>
          </w:p>
        </w:tc>
        <w:tc>
          <w:tcPr>
            <w:tcW w:w="2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13021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On: Plan to organize the Annual General Meeting of Shareholders 2023</w:t>
            </w:r>
          </w:p>
        </w:tc>
      </w:tr>
      <w:tr w:rsidR="00A27052" w:rsidRPr="00B20833" w14:paraId="59C032E4" w14:textId="77777777" w:rsidTr="00B20833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BA03E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F299D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02/NQ-HDQT-NAG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C43A1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18, 2023</w:t>
            </w:r>
          </w:p>
        </w:tc>
        <w:tc>
          <w:tcPr>
            <w:tcW w:w="2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B37EE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On: Adjusting the record date to attend the</w:t>
            </w:r>
          </w:p>
          <w:p w14:paraId="7C3D6107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Meeting of Shareholders 2023</w:t>
            </w:r>
          </w:p>
        </w:tc>
      </w:tr>
      <w:tr w:rsidR="00A27052" w:rsidRPr="00B20833" w14:paraId="14C6771B" w14:textId="77777777" w:rsidTr="00B20833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D3DA7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30DEE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02/QDHDQT/NAG-23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A2A44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24, 2023</w:t>
            </w:r>
          </w:p>
        </w:tc>
        <w:tc>
          <w:tcPr>
            <w:tcW w:w="2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4657E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On: Business results for Q1/2023 and business plan for Q2/2023</w:t>
            </w:r>
          </w:p>
        </w:tc>
      </w:tr>
      <w:tr w:rsidR="00A27052" w:rsidRPr="00B20833" w14:paraId="18746555" w14:textId="77777777" w:rsidTr="00B20833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4029B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4A5D7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03/NQ-HDQT-NAG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ADF0D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24, 2023</w:t>
            </w:r>
          </w:p>
        </w:tc>
        <w:tc>
          <w:tcPr>
            <w:tcW w:w="2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BED89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On: Appointment of Deputy General Manager - Nagakawa Group JSC</w:t>
            </w:r>
          </w:p>
        </w:tc>
      </w:tr>
      <w:tr w:rsidR="00A27052" w:rsidRPr="00B20833" w14:paraId="2BD1CE00" w14:textId="77777777" w:rsidTr="00B20833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02913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48469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03/QDHDQT/NAG-23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88711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2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23F43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On: Meeting to summarize the results of production and business activities in the first 6 months of 2023 and business plan for the last 6 months of 2023</w:t>
            </w:r>
          </w:p>
        </w:tc>
      </w:tr>
      <w:tr w:rsidR="00A27052" w:rsidRPr="00B20833" w14:paraId="4874EB14" w14:textId="77777777" w:rsidTr="00B20833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8959E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08A0A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208/BBHDQT-NAG-23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C91F4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30, 2023</w:t>
            </w:r>
          </w:p>
        </w:tc>
        <w:tc>
          <w:tcPr>
            <w:tcW w:w="2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7FBD4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On: Approving the cash dividend payment plan in 2022</w:t>
            </w:r>
          </w:p>
        </w:tc>
      </w:tr>
      <w:tr w:rsidR="00A27052" w:rsidRPr="00B20833" w14:paraId="10F021A3" w14:textId="77777777" w:rsidTr="00B20833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B29DE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20E0D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228/ NQ-HDQT-NAG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1F1D8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2, 2023</w:t>
            </w:r>
          </w:p>
        </w:tc>
        <w:tc>
          <w:tcPr>
            <w:tcW w:w="2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7E59B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On: Dismissal, Appointment of the Chief Accountant - Nagakawa Group JSC</w:t>
            </w:r>
          </w:p>
        </w:tc>
      </w:tr>
      <w:tr w:rsidR="00A27052" w:rsidRPr="00B20833" w14:paraId="170FFF89" w14:textId="77777777" w:rsidTr="00B20833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711C6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1D589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02/NQ-HDQT-NAG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9C53C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30, 2023</w:t>
            </w:r>
          </w:p>
        </w:tc>
        <w:tc>
          <w:tcPr>
            <w:tcW w:w="2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047D2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On: Contributing capital to establish Nagakawa High Technology Joint Stock Company and appointing a representative to manage the capital contribution</w:t>
            </w:r>
          </w:p>
        </w:tc>
      </w:tr>
      <w:tr w:rsidR="00A27052" w:rsidRPr="00B20833" w14:paraId="044FEC84" w14:textId="77777777" w:rsidTr="00B20833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ADFBE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665FA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03/NQ-HDQT-NAG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2D527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2, 2023</w:t>
            </w:r>
          </w:p>
        </w:tc>
        <w:tc>
          <w:tcPr>
            <w:tcW w:w="2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80EE4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On: Appointing the person in charge of corporate governance-cum-Secretariat of the Company</w:t>
            </w:r>
          </w:p>
        </w:tc>
      </w:tr>
      <w:tr w:rsidR="00A27052" w:rsidRPr="00B20833" w14:paraId="285E3B28" w14:textId="77777777" w:rsidTr="00B20833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13377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0067B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04/NQ-HDQT-NAG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5785A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2023</w:t>
            </w:r>
          </w:p>
        </w:tc>
        <w:tc>
          <w:tcPr>
            <w:tcW w:w="2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6D535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On: Meeting to summarize production and business results in 2023 and business plan for 2024</w:t>
            </w:r>
          </w:p>
        </w:tc>
      </w:tr>
    </w:tbl>
    <w:p w14:paraId="42102C65" w14:textId="77777777" w:rsidR="00A27052" w:rsidRPr="00B20833" w:rsidRDefault="00B20833" w:rsidP="00B208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</w:t>
      </w:r>
    </w:p>
    <w:tbl>
      <w:tblPr>
        <w:tblStyle w:val="a2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7"/>
        <w:gridCol w:w="2943"/>
        <w:gridCol w:w="1836"/>
        <w:gridCol w:w="1794"/>
        <w:gridCol w:w="1747"/>
      </w:tblGrid>
      <w:tr w:rsidR="00A27052" w:rsidRPr="00B20833" w14:paraId="1C5D1BE8" w14:textId="77777777" w:rsidTr="00B20833">
        <w:trPr>
          <w:jc w:val="center"/>
        </w:trPr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407BF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9D0D3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D0F75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6FAE2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</w:t>
            </w:r>
          </w:p>
          <w:p w14:paraId="4E5381D9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94230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A27052" w:rsidRPr="00B20833" w14:paraId="51F62DCE" w14:textId="77777777" w:rsidTr="00B20833">
        <w:trPr>
          <w:jc w:val="center"/>
        </w:trPr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45F7C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FE779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Thu Thao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FD51E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F904C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2017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FC0D9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Accounting and Finance</w:t>
            </w:r>
          </w:p>
        </w:tc>
      </w:tr>
      <w:tr w:rsidR="00A27052" w:rsidRPr="00B20833" w14:paraId="0BE9A927" w14:textId="77777777" w:rsidTr="00B20833">
        <w:trPr>
          <w:jc w:val="center"/>
        </w:trPr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8241B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E0BB5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Pham Thi Hue Anh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3E7D0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0CDDD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12, 2022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64CB6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</w:t>
            </w:r>
          </w:p>
        </w:tc>
      </w:tr>
      <w:tr w:rsidR="00A27052" w:rsidRPr="00B20833" w14:paraId="734E0C66" w14:textId="77777777" w:rsidTr="00B20833">
        <w:trPr>
          <w:jc w:val="center"/>
        </w:trPr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AF824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E2EAF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Thi Hai Yen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1AC7D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32B19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2017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9494F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Bachelor of Accounting and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Finance</w:t>
            </w:r>
          </w:p>
        </w:tc>
      </w:tr>
    </w:tbl>
    <w:p w14:paraId="143EA7CF" w14:textId="77777777" w:rsidR="00A27052" w:rsidRPr="00B20833" w:rsidRDefault="00B20833" w:rsidP="00B208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The Executive Board</w:t>
      </w: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6"/>
        <w:gridCol w:w="3148"/>
        <w:gridCol w:w="1403"/>
        <w:gridCol w:w="1841"/>
        <w:gridCol w:w="1999"/>
      </w:tblGrid>
      <w:tr w:rsidR="00A27052" w:rsidRPr="00B20833" w14:paraId="20A893DA" w14:textId="77777777" w:rsidTr="00B20833">
        <w:trPr>
          <w:jc w:val="center"/>
        </w:trPr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86254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7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0F7D9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116AC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FB254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9254B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A27052" w:rsidRPr="00B20833" w14:paraId="76E114F0" w14:textId="77777777" w:rsidTr="00B20833">
        <w:trPr>
          <w:jc w:val="center"/>
        </w:trPr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CD15B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894FA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Huyen Thuong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84403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13, 1983</w:t>
            </w:r>
          </w:p>
        </w:tc>
        <w:tc>
          <w:tcPr>
            <w:tcW w:w="1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61768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CD556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22, 2020</w:t>
            </w:r>
          </w:p>
        </w:tc>
      </w:tr>
      <w:tr w:rsidR="00A27052" w:rsidRPr="00B20833" w14:paraId="65457573" w14:textId="77777777" w:rsidTr="00B20833">
        <w:trPr>
          <w:jc w:val="center"/>
        </w:trPr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D2D14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735B4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Huy Thi Dung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40146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1, 1979</w:t>
            </w:r>
          </w:p>
        </w:tc>
        <w:tc>
          <w:tcPr>
            <w:tcW w:w="1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1ADD3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Accounting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657DD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6, 2021</w:t>
            </w:r>
          </w:p>
        </w:tc>
      </w:tr>
      <w:tr w:rsidR="00A27052" w:rsidRPr="00B20833" w14:paraId="22AF295C" w14:textId="77777777" w:rsidTr="00B20833">
        <w:trPr>
          <w:jc w:val="center"/>
        </w:trPr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7B783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7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7E44D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Ba Dat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E0AEE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30, 1985</w:t>
            </w:r>
          </w:p>
        </w:tc>
        <w:tc>
          <w:tcPr>
            <w:tcW w:w="1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625B2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Business Administration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12AAE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28, 2022</w:t>
            </w:r>
          </w:p>
        </w:tc>
      </w:tr>
      <w:tr w:rsidR="00A27052" w:rsidRPr="00B20833" w14:paraId="28C124C7" w14:textId="77777777" w:rsidTr="00B20833">
        <w:trPr>
          <w:jc w:val="center"/>
        </w:trPr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26139" w14:textId="77777777" w:rsidR="00A27052" w:rsidRPr="00B20833" w:rsidRDefault="00B20833" w:rsidP="006C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7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8A765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Bich Thuy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A7F72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19, 1982</w:t>
            </w:r>
          </w:p>
        </w:tc>
        <w:tc>
          <w:tcPr>
            <w:tcW w:w="1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80345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Business Administration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23326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24, 2023</w:t>
            </w:r>
          </w:p>
        </w:tc>
      </w:tr>
    </w:tbl>
    <w:p w14:paraId="14ACB652" w14:textId="77777777" w:rsidR="00A27052" w:rsidRPr="00B20833" w:rsidRDefault="00B20833" w:rsidP="00B208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Chief Accountant:</w:t>
      </w:r>
    </w:p>
    <w:tbl>
      <w:tblPr>
        <w:tblStyle w:val="a4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65"/>
        <w:gridCol w:w="1619"/>
        <w:gridCol w:w="1876"/>
        <w:gridCol w:w="2757"/>
      </w:tblGrid>
      <w:tr w:rsidR="00A27052" w:rsidRPr="00B20833" w14:paraId="0B2A8FBE" w14:textId="77777777" w:rsidTr="00B20833">
        <w:trPr>
          <w:jc w:val="center"/>
        </w:trPr>
        <w:tc>
          <w:tcPr>
            <w:tcW w:w="1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B1AF7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651E5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0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081B3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CA31E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A27052" w:rsidRPr="00B20833" w14:paraId="13111CBE" w14:textId="77777777" w:rsidTr="00B20833">
        <w:trPr>
          <w:jc w:val="center"/>
        </w:trPr>
        <w:tc>
          <w:tcPr>
            <w:tcW w:w="1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91754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Huy Thi Dung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0F144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1, 1979</w:t>
            </w:r>
          </w:p>
        </w:tc>
        <w:tc>
          <w:tcPr>
            <w:tcW w:w="10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4B25E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Accounting</w:t>
            </w:r>
          </w:p>
        </w:tc>
        <w:tc>
          <w:tcPr>
            <w:tcW w:w="1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B92F1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Appointment date March 02, 2011 </w:t>
            </w:r>
            <w:r>
              <w:rPr>
                <w:rFonts w:ascii="Arial" w:hAnsi="Arial"/>
                <w:color w:val="010000"/>
                <w:sz w:val="20"/>
              </w:rPr>
              <w:br/>
              <w:t>Dismissal date: October 2, 2023</w:t>
            </w:r>
          </w:p>
        </w:tc>
      </w:tr>
      <w:tr w:rsidR="00A27052" w:rsidRPr="00B20833" w14:paraId="10E51370" w14:textId="77777777" w:rsidTr="00B20833">
        <w:trPr>
          <w:jc w:val="center"/>
        </w:trPr>
        <w:tc>
          <w:tcPr>
            <w:tcW w:w="1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85BCD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Trinh Thi Phuong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6727C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8, 1983</w:t>
            </w:r>
          </w:p>
        </w:tc>
        <w:tc>
          <w:tcPr>
            <w:tcW w:w="10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2BC91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  <w:tc>
          <w:tcPr>
            <w:tcW w:w="1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8BF06" w14:textId="77777777" w:rsidR="00A27052" w:rsidRPr="00B20833" w:rsidRDefault="00B20833" w:rsidP="00B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date: October 2, 2023</w:t>
            </w:r>
          </w:p>
        </w:tc>
      </w:tr>
    </w:tbl>
    <w:p w14:paraId="3F276363" w14:textId="77777777" w:rsidR="00A27052" w:rsidRPr="00B20833" w:rsidRDefault="00B20833" w:rsidP="006C6A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r>
        <w:rPr>
          <w:rFonts w:ascii="Arial" w:hAnsi="Arial"/>
          <w:color w:val="010000"/>
          <w:sz w:val="20"/>
        </w:rPr>
        <w:t>Training on corporate governance</w:t>
      </w:r>
    </w:p>
    <w:p w14:paraId="651CB38A" w14:textId="77777777" w:rsidR="00A27052" w:rsidRPr="00B20833" w:rsidRDefault="00B20833" w:rsidP="006C6A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affiliated persons of the public company and transactions of the affiliated persons of the Company with the Company itself.</w:t>
      </w:r>
    </w:p>
    <w:p w14:paraId="1920A886" w14:textId="77777777" w:rsidR="00A27052" w:rsidRPr="00B20833" w:rsidRDefault="00B20833" w:rsidP="006C6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affiliated persons of the Company, or between the Company and major shareholders, PDMR, or affiliated persons of PDMR: None</w:t>
      </w:r>
    </w:p>
    <w:p w14:paraId="14EDEC08" w14:textId="77777777" w:rsidR="00A27052" w:rsidRPr="00B20833" w:rsidRDefault="00B20833" w:rsidP="006C6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PDMR of the listed company, affiliated persons of PDMR and subsidiaries, and companies controlled by the listed company: None</w:t>
      </w:r>
    </w:p>
    <w:p w14:paraId="0684B019" w14:textId="77777777" w:rsidR="00A27052" w:rsidRPr="00B20833" w:rsidRDefault="00B20833" w:rsidP="006C6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</w:t>
      </w:r>
    </w:p>
    <w:p w14:paraId="2B64639C" w14:textId="77777777" w:rsidR="00A27052" w:rsidRPr="00B20833" w:rsidRDefault="00B20833" w:rsidP="006C6A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between PDMR and affiliated persons of PDMR</w:t>
      </w:r>
    </w:p>
    <w:p w14:paraId="454E17CF" w14:textId="77777777" w:rsidR="00A27052" w:rsidRPr="00B20833" w:rsidRDefault="00B20833" w:rsidP="006C6A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PDMR and affiliated persons of PDMR for shares of listed companies: None.</w:t>
      </w:r>
    </w:p>
    <w:p w14:paraId="5FF44C9E" w14:textId="77777777" w:rsidR="00A27052" w:rsidRPr="00B20833" w:rsidRDefault="00B20833" w:rsidP="006C6A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  <w:bookmarkEnd w:id="0"/>
    </w:p>
    <w:sectPr w:rsidR="00A27052" w:rsidRPr="00B20833" w:rsidSect="00B20833">
      <w:pgSz w:w="11907" w:h="1683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ゴシック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7B4"/>
    <w:multiLevelType w:val="multilevel"/>
    <w:tmpl w:val="5B28A8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198"/>
    <w:multiLevelType w:val="multilevel"/>
    <w:tmpl w:val="9236B9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47A8"/>
    <w:multiLevelType w:val="multilevel"/>
    <w:tmpl w:val="5E8CAA8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F77928"/>
    <w:multiLevelType w:val="multilevel"/>
    <w:tmpl w:val="8EF61C8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42D2B"/>
    <w:multiLevelType w:val="multilevel"/>
    <w:tmpl w:val="8C06312E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52"/>
    <w:rsid w:val="00325726"/>
    <w:rsid w:val="006C6A50"/>
    <w:rsid w:val="00A27052"/>
    <w:rsid w:val="00B2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C159C"/>
  <w15:docId w15:val="{CC7D868E-BB6C-4354-A255-7F91493D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tos" w:eastAsia="Aptos" w:hAnsi="Aptos" w:cs="Aptos"/>
        <w:sz w:val="24"/>
        <w:szCs w:val="24"/>
        <w:lang w:val="en-US" w:eastAsia="ja-JP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8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8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8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8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8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8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8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8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8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8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0895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895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895"/>
    <w:rPr>
      <w:rFonts w:eastAsiaTheme="majorEastAsia" w:cstheme="majorBidi"/>
      <w:noProof/>
      <w:color w:val="0F476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895"/>
    <w:rPr>
      <w:rFonts w:eastAsiaTheme="majorEastAsia" w:cstheme="majorBidi"/>
      <w:i/>
      <w:iCs/>
      <w:noProof/>
      <w:color w:val="0F476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895"/>
    <w:rPr>
      <w:rFonts w:eastAsiaTheme="majorEastAsia" w:cstheme="majorBidi"/>
      <w:noProof/>
      <w:color w:val="0F476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895"/>
    <w:rPr>
      <w:rFonts w:eastAsiaTheme="majorEastAsia" w:cstheme="majorBidi"/>
      <w:i/>
      <w:iCs/>
      <w:noProof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895"/>
    <w:rPr>
      <w:rFonts w:eastAsiaTheme="majorEastAsia" w:cstheme="majorBidi"/>
      <w:noProof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895"/>
    <w:rPr>
      <w:rFonts w:eastAsiaTheme="majorEastAsia" w:cstheme="majorBidi"/>
      <w:i/>
      <w:iCs/>
      <w:noProof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895"/>
    <w:rPr>
      <w:rFonts w:eastAsiaTheme="majorEastAsia" w:cstheme="majorBidi"/>
      <w:noProof/>
      <w:color w:val="272727" w:themeColor="text1" w:themeTint="D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A0895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0895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6A08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0895"/>
    <w:rPr>
      <w:i/>
      <w:iCs/>
      <w:noProof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6A08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08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8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895"/>
    <w:rPr>
      <w:i/>
      <w:iCs/>
      <w:noProof/>
      <w:color w:val="0F4761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6A0895"/>
    <w:rPr>
      <w:b/>
      <w:bCs/>
      <w:smallCaps/>
      <w:color w:val="0F4761" w:themeColor="accent1" w:themeShade="BF"/>
      <w:spacing w:val="5"/>
    </w:rPr>
  </w:style>
  <w:style w:type="character" w:customStyle="1" w:styleId="Other">
    <w:name w:val="Other_"/>
    <w:basedOn w:val="DefaultParagraphFont"/>
    <w:link w:val="Other0"/>
    <w:rsid w:val="00DC7F4F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DC7F4F"/>
    <w:pPr>
      <w:widowControl w:val="0"/>
      <w:spacing w:after="100" w:line="314" w:lineRule="auto"/>
      <w:ind w:firstLine="400"/>
    </w:pPr>
    <w:rPr>
      <w:rFonts w:ascii="Times New Roman" w:eastAsia="Times New Roman" w:hAnsi="Times New Roman" w:cs="Times New Roman"/>
      <w:noProof w:val="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sIbm/K5TNHk3+4bCjZvOKR1pEA==">CgMxLjA4AHIhMTg5Qk9PRC1Ua3hrUFlzOE9qMGQ3bVh4WDBmSzRSTm4t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989</Words>
  <Characters>5204</Characters>
  <Application>Microsoft Office Word</Application>
  <DocSecurity>0</DocSecurity>
  <Lines>273</Lines>
  <Paragraphs>206</Paragraphs>
  <ScaleCrop>false</ScaleCrop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Nguyễn Hồng</dc:creator>
  <cp:lastModifiedBy>Nguyen Thi Quynh Trang</cp:lastModifiedBy>
  <cp:revision>5</cp:revision>
  <dcterms:created xsi:type="dcterms:W3CDTF">2024-02-15T10:00:00Z</dcterms:created>
  <dcterms:modified xsi:type="dcterms:W3CDTF">2024-02-16T10:00:00Z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94d3ccadde11e64d68a20ab80c94b1b038496f044b46f8f1d17277e185cf1b5b</vt:lpwstr>
  </property>
</Properties>
</file>