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BE73E" w14:textId="77777777" w:rsidR="00F94795" w:rsidRPr="00CD6132" w:rsidRDefault="00CD6132" w:rsidP="00962F32">
      <w:pPr>
        <w:pBdr>
          <w:top w:val="nil"/>
          <w:left w:val="nil"/>
          <w:bottom w:val="nil"/>
          <w:right w:val="nil"/>
          <w:between w:val="nil"/>
        </w:pBdr>
        <w:spacing w:after="120" w:line="360" w:lineRule="auto"/>
        <w:jc w:val="both"/>
        <w:rPr>
          <w:rFonts w:ascii="Arial" w:eastAsia="Arial" w:hAnsi="Arial" w:cs="Arial"/>
          <w:b/>
          <w:color w:val="010000"/>
          <w:sz w:val="20"/>
          <w:szCs w:val="20"/>
        </w:rPr>
      </w:pPr>
      <w:r w:rsidRPr="00CD6132">
        <w:rPr>
          <w:rFonts w:ascii="Arial" w:hAnsi="Arial" w:cs="Arial"/>
          <w:b/>
          <w:bCs/>
          <w:color w:val="010000"/>
          <w:sz w:val="20"/>
        </w:rPr>
        <w:t>VC7:</w:t>
      </w:r>
      <w:r w:rsidRPr="00CD6132">
        <w:rPr>
          <w:rFonts w:ascii="Arial" w:hAnsi="Arial" w:cs="Arial"/>
          <w:b/>
          <w:color w:val="010000"/>
          <w:sz w:val="20"/>
        </w:rPr>
        <w:t xml:space="preserve"> Board Decision</w:t>
      </w:r>
    </w:p>
    <w:p w14:paraId="46D3204C" w14:textId="77777777" w:rsidR="00F94795" w:rsidRPr="00CD6132" w:rsidRDefault="00CD6132" w:rsidP="00962F32">
      <w:pPr>
        <w:pBdr>
          <w:top w:val="nil"/>
          <w:left w:val="nil"/>
          <w:bottom w:val="nil"/>
          <w:right w:val="nil"/>
          <w:between w:val="nil"/>
        </w:pBdr>
        <w:spacing w:after="120" w:line="360" w:lineRule="auto"/>
        <w:jc w:val="both"/>
        <w:rPr>
          <w:rFonts w:ascii="Arial" w:eastAsia="Arial" w:hAnsi="Arial" w:cs="Arial"/>
          <w:color w:val="010000"/>
          <w:sz w:val="20"/>
          <w:szCs w:val="20"/>
        </w:rPr>
      </w:pPr>
      <w:r w:rsidRPr="00CD6132">
        <w:rPr>
          <w:rFonts w:ascii="Arial" w:hAnsi="Arial" w:cs="Arial"/>
          <w:color w:val="010000"/>
          <w:sz w:val="20"/>
        </w:rPr>
        <w:t>On February 5, 2024, BGI Group Joint Stock Company announced Decision No. 02-2024/QD/HDQT on the individual prepayment for project investment of BGI Group Joint Stock Company as follows:</w:t>
      </w:r>
    </w:p>
    <w:p w14:paraId="2C8AD74E"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Article 1: Approve the individual prepayment for project investment of BGI Group Joint Stock Company,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3247"/>
        <w:gridCol w:w="2904"/>
        <w:gridCol w:w="2321"/>
      </w:tblGrid>
      <w:tr w:rsidR="00F94795" w:rsidRPr="00CD6132" w14:paraId="1AF9BDE3" w14:textId="77777777" w:rsidTr="00CD6132">
        <w:tc>
          <w:tcPr>
            <w:tcW w:w="303" w:type="pct"/>
            <w:shd w:val="clear" w:color="auto" w:fill="auto"/>
            <w:vAlign w:val="center"/>
          </w:tcPr>
          <w:p w14:paraId="6572A10D"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No.</w:t>
            </w:r>
          </w:p>
        </w:tc>
        <w:tc>
          <w:tcPr>
            <w:tcW w:w="1800" w:type="pct"/>
            <w:shd w:val="clear" w:color="auto" w:fill="auto"/>
            <w:vAlign w:val="center"/>
          </w:tcPr>
          <w:p w14:paraId="79996821"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Individual</w:t>
            </w:r>
          </w:p>
        </w:tc>
        <w:tc>
          <w:tcPr>
            <w:tcW w:w="1610" w:type="pct"/>
            <w:shd w:val="clear" w:color="auto" w:fill="auto"/>
            <w:vAlign w:val="center"/>
          </w:tcPr>
          <w:p w14:paraId="0D3CB639"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Position</w:t>
            </w:r>
          </w:p>
        </w:tc>
        <w:tc>
          <w:tcPr>
            <w:tcW w:w="1287" w:type="pct"/>
            <w:shd w:val="clear" w:color="auto" w:fill="auto"/>
            <w:vAlign w:val="center"/>
          </w:tcPr>
          <w:p w14:paraId="6D276279"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 xml:space="preserve">Prepayment limit (Unit: VND) </w:t>
            </w:r>
          </w:p>
        </w:tc>
      </w:tr>
      <w:tr w:rsidR="00F94795" w:rsidRPr="00CD6132" w14:paraId="749CA832" w14:textId="77777777" w:rsidTr="00CD6132">
        <w:tc>
          <w:tcPr>
            <w:tcW w:w="303" w:type="pct"/>
            <w:shd w:val="clear" w:color="auto" w:fill="auto"/>
            <w:vAlign w:val="center"/>
          </w:tcPr>
          <w:p w14:paraId="79F65FBD" w14:textId="77777777" w:rsidR="00F94795" w:rsidRPr="00CD6132" w:rsidRDefault="00CD6132" w:rsidP="00CD6132">
            <w:pPr>
              <w:spacing w:after="120" w:line="360" w:lineRule="auto"/>
              <w:rPr>
                <w:rFonts w:ascii="Arial" w:eastAsia="Arial" w:hAnsi="Arial" w:cs="Arial"/>
                <w:color w:val="010000"/>
                <w:sz w:val="20"/>
                <w:szCs w:val="20"/>
              </w:rPr>
            </w:pPr>
            <w:r w:rsidRPr="00CD6132">
              <w:rPr>
                <w:rFonts w:ascii="Arial" w:hAnsi="Arial" w:cs="Arial"/>
                <w:color w:val="010000"/>
                <w:sz w:val="20"/>
              </w:rPr>
              <w:t>1</w:t>
            </w:r>
          </w:p>
        </w:tc>
        <w:tc>
          <w:tcPr>
            <w:tcW w:w="1800" w:type="pct"/>
            <w:shd w:val="clear" w:color="auto" w:fill="auto"/>
            <w:vAlign w:val="center"/>
          </w:tcPr>
          <w:p w14:paraId="7BC3D14A"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 xml:space="preserve">Hoang </w:t>
            </w:r>
            <w:proofErr w:type="spellStart"/>
            <w:r w:rsidRPr="00CD6132">
              <w:rPr>
                <w:rFonts w:ascii="Arial" w:hAnsi="Arial" w:cs="Arial"/>
                <w:color w:val="010000"/>
                <w:sz w:val="20"/>
              </w:rPr>
              <w:t>Trong</w:t>
            </w:r>
            <w:proofErr w:type="spellEnd"/>
            <w:r w:rsidRPr="00CD6132">
              <w:rPr>
                <w:rFonts w:ascii="Arial" w:hAnsi="Arial" w:cs="Arial"/>
                <w:color w:val="010000"/>
                <w:sz w:val="20"/>
              </w:rPr>
              <w:t xml:space="preserve"> Duc</w:t>
            </w:r>
          </w:p>
        </w:tc>
        <w:tc>
          <w:tcPr>
            <w:tcW w:w="1610" w:type="pct"/>
            <w:shd w:val="clear" w:color="auto" w:fill="auto"/>
            <w:vAlign w:val="center"/>
          </w:tcPr>
          <w:p w14:paraId="2240F8FF"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Chair of the Board of Directors</w:t>
            </w:r>
          </w:p>
        </w:tc>
        <w:tc>
          <w:tcPr>
            <w:tcW w:w="1287" w:type="pct"/>
            <w:shd w:val="clear" w:color="auto" w:fill="auto"/>
            <w:vAlign w:val="center"/>
          </w:tcPr>
          <w:p w14:paraId="319D24E1"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100,000,000,000</w:t>
            </w:r>
          </w:p>
        </w:tc>
      </w:tr>
      <w:tr w:rsidR="00F94795" w:rsidRPr="00CD6132" w14:paraId="63D964F2" w14:textId="77777777" w:rsidTr="00CD6132">
        <w:tc>
          <w:tcPr>
            <w:tcW w:w="303" w:type="pct"/>
            <w:shd w:val="clear" w:color="auto" w:fill="auto"/>
            <w:vAlign w:val="center"/>
          </w:tcPr>
          <w:p w14:paraId="38ED8BE9"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2</w:t>
            </w:r>
          </w:p>
        </w:tc>
        <w:tc>
          <w:tcPr>
            <w:tcW w:w="1800" w:type="pct"/>
            <w:shd w:val="clear" w:color="auto" w:fill="auto"/>
            <w:vAlign w:val="center"/>
          </w:tcPr>
          <w:p w14:paraId="0C1D4C54"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Nguyen Duc Hung</w:t>
            </w:r>
          </w:p>
        </w:tc>
        <w:tc>
          <w:tcPr>
            <w:tcW w:w="1610" w:type="pct"/>
            <w:shd w:val="clear" w:color="auto" w:fill="auto"/>
            <w:vAlign w:val="center"/>
          </w:tcPr>
          <w:p w14:paraId="5B05EE75"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Deputy General Manager</w:t>
            </w:r>
          </w:p>
        </w:tc>
        <w:tc>
          <w:tcPr>
            <w:tcW w:w="1287" w:type="pct"/>
            <w:shd w:val="clear" w:color="auto" w:fill="auto"/>
            <w:vAlign w:val="center"/>
          </w:tcPr>
          <w:p w14:paraId="0D99E456"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50,000,000,000</w:t>
            </w:r>
          </w:p>
        </w:tc>
      </w:tr>
      <w:tr w:rsidR="00F94795" w:rsidRPr="00CD6132" w14:paraId="7250C18D" w14:textId="77777777" w:rsidTr="00CD6132">
        <w:tc>
          <w:tcPr>
            <w:tcW w:w="303" w:type="pct"/>
            <w:shd w:val="clear" w:color="auto" w:fill="auto"/>
            <w:vAlign w:val="center"/>
          </w:tcPr>
          <w:p w14:paraId="2602907A"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3</w:t>
            </w:r>
          </w:p>
        </w:tc>
        <w:tc>
          <w:tcPr>
            <w:tcW w:w="1800" w:type="pct"/>
            <w:shd w:val="clear" w:color="auto" w:fill="auto"/>
            <w:vAlign w:val="center"/>
          </w:tcPr>
          <w:p w14:paraId="4B6D55C3"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Nguyen The Dong</w:t>
            </w:r>
          </w:p>
        </w:tc>
        <w:tc>
          <w:tcPr>
            <w:tcW w:w="1610" w:type="pct"/>
            <w:shd w:val="clear" w:color="auto" w:fill="auto"/>
            <w:vAlign w:val="center"/>
          </w:tcPr>
          <w:p w14:paraId="3C7FF195"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Head of Investment Committee</w:t>
            </w:r>
          </w:p>
        </w:tc>
        <w:tc>
          <w:tcPr>
            <w:tcW w:w="1287" w:type="pct"/>
            <w:shd w:val="clear" w:color="auto" w:fill="auto"/>
            <w:vAlign w:val="center"/>
          </w:tcPr>
          <w:p w14:paraId="1363AF82"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20,000,000,000</w:t>
            </w:r>
          </w:p>
        </w:tc>
      </w:tr>
      <w:tr w:rsidR="00F94795" w:rsidRPr="00CD6132" w14:paraId="4BEAF2D5" w14:textId="77777777" w:rsidTr="00CD6132">
        <w:tc>
          <w:tcPr>
            <w:tcW w:w="303" w:type="pct"/>
            <w:shd w:val="clear" w:color="auto" w:fill="auto"/>
            <w:vAlign w:val="center"/>
          </w:tcPr>
          <w:p w14:paraId="1F1E2853" w14:textId="77777777" w:rsidR="00F94795" w:rsidRPr="00CD6132" w:rsidRDefault="00F94795" w:rsidP="00CD6132">
            <w:pPr>
              <w:spacing w:after="120" w:line="360" w:lineRule="auto"/>
              <w:rPr>
                <w:rFonts w:ascii="Arial" w:eastAsia="Arial" w:hAnsi="Arial" w:cs="Arial"/>
                <w:color w:val="010000"/>
                <w:sz w:val="20"/>
                <w:szCs w:val="20"/>
              </w:rPr>
            </w:pPr>
          </w:p>
        </w:tc>
        <w:tc>
          <w:tcPr>
            <w:tcW w:w="1800" w:type="pct"/>
            <w:shd w:val="clear" w:color="auto" w:fill="auto"/>
            <w:vAlign w:val="center"/>
          </w:tcPr>
          <w:p w14:paraId="62FDB36B"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Total</w:t>
            </w:r>
          </w:p>
        </w:tc>
        <w:tc>
          <w:tcPr>
            <w:tcW w:w="1610" w:type="pct"/>
            <w:shd w:val="clear" w:color="auto" w:fill="auto"/>
            <w:vAlign w:val="center"/>
          </w:tcPr>
          <w:p w14:paraId="39D903B6" w14:textId="77777777" w:rsidR="00F94795" w:rsidRPr="00CD6132" w:rsidRDefault="00F94795" w:rsidP="00CD6132">
            <w:pPr>
              <w:pBdr>
                <w:top w:val="nil"/>
                <w:left w:val="nil"/>
                <w:bottom w:val="nil"/>
                <w:right w:val="nil"/>
                <w:between w:val="nil"/>
              </w:pBdr>
              <w:tabs>
                <w:tab w:val="left" w:pos="873"/>
                <w:tab w:val="left" w:pos="1125"/>
                <w:tab w:val="left" w:pos="1143"/>
                <w:tab w:val="left" w:pos="1636"/>
              </w:tabs>
              <w:spacing w:after="120" w:line="360" w:lineRule="auto"/>
              <w:rPr>
                <w:rFonts w:ascii="Arial" w:eastAsia="Arial" w:hAnsi="Arial" w:cs="Arial"/>
                <w:color w:val="010000"/>
                <w:sz w:val="20"/>
                <w:szCs w:val="20"/>
              </w:rPr>
            </w:pPr>
          </w:p>
        </w:tc>
        <w:tc>
          <w:tcPr>
            <w:tcW w:w="1287" w:type="pct"/>
            <w:shd w:val="clear" w:color="auto" w:fill="auto"/>
            <w:vAlign w:val="center"/>
          </w:tcPr>
          <w:p w14:paraId="55702FE9" w14:textId="77777777" w:rsidR="00F94795" w:rsidRPr="00CD6132" w:rsidRDefault="00CD6132" w:rsidP="00CD6132">
            <w:pPr>
              <w:pBdr>
                <w:top w:val="nil"/>
                <w:left w:val="nil"/>
                <w:bottom w:val="nil"/>
                <w:right w:val="nil"/>
                <w:between w:val="nil"/>
              </w:pBdr>
              <w:spacing w:after="120" w:line="360" w:lineRule="auto"/>
              <w:rPr>
                <w:rFonts w:ascii="Arial" w:eastAsia="Arial" w:hAnsi="Arial" w:cs="Arial"/>
                <w:color w:val="010000"/>
                <w:sz w:val="20"/>
                <w:szCs w:val="20"/>
              </w:rPr>
            </w:pPr>
            <w:r w:rsidRPr="00CD6132">
              <w:rPr>
                <w:rFonts w:ascii="Arial" w:hAnsi="Arial" w:cs="Arial"/>
                <w:color w:val="010000"/>
                <w:sz w:val="20"/>
              </w:rPr>
              <w:t>170,000,000,000</w:t>
            </w:r>
          </w:p>
        </w:tc>
      </w:tr>
    </w:tbl>
    <w:p w14:paraId="0F72B285" w14:textId="77777777" w:rsidR="00F94795" w:rsidRPr="00CD6132" w:rsidRDefault="00CD6132" w:rsidP="00962F32">
      <w:pPr>
        <w:pBdr>
          <w:top w:val="nil"/>
          <w:left w:val="nil"/>
          <w:bottom w:val="nil"/>
          <w:right w:val="nil"/>
          <w:between w:val="nil"/>
        </w:pBdr>
        <w:spacing w:after="120" w:line="360" w:lineRule="auto"/>
        <w:jc w:val="both"/>
        <w:rPr>
          <w:rFonts w:ascii="Arial" w:eastAsia="Arial" w:hAnsi="Arial" w:cs="Arial"/>
          <w:color w:val="010000"/>
          <w:sz w:val="20"/>
          <w:szCs w:val="20"/>
        </w:rPr>
      </w:pPr>
      <w:r w:rsidRPr="00CD6132">
        <w:rPr>
          <w:rFonts w:ascii="Arial" w:hAnsi="Arial" w:cs="Arial"/>
          <w:color w:val="010000"/>
          <w:sz w:val="20"/>
        </w:rPr>
        <w:t xml:space="preserve">The above individual prepayment is for the purpose of investing in the Company's projects including: Project to renovate residential areas at lots CTR11, CTR12 and exploit mixed land funds, in Area A - An Van Duong New Urban, </w:t>
      </w:r>
      <w:proofErr w:type="spellStart"/>
      <w:r w:rsidRPr="00CD6132">
        <w:rPr>
          <w:rFonts w:ascii="Arial" w:hAnsi="Arial" w:cs="Arial"/>
          <w:color w:val="010000"/>
          <w:sz w:val="20"/>
        </w:rPr>
        <w:t>Thua</w:t>
      </w:r>
      <w:proofErr w:type="spellEnd"/>
      <w:r w:rsidRPr="00CD6132">
        <w:rPr>
          <w:rFonts w:ascii="Arial" w:hAnsi="Arial" w:cs="Arial"/>
          <w:color w:val="010000"/>
          <w:sz w:val="20"/>
        </w:rPr>
        <w:t xml:space="preserve"> </w:t>
      </w:r>
      <w:proofErr w:type="spellStart"/>
      <w:r w:rsidRPr="00CD6132">
        <w:rPr>
          <w:rFonts w:ascii="Arial" w:hAnsi="Arial" w:cs="Arial"/>
          <w:color w:val="010000"/>
          <w:sz w:val="20"/>
        </w:rPr>
        <w:t>Thien</w:t>
      </w:r>
      <w:proofErr w:type="spellEnd"/>
      <w:r w:rsidRPr="00CD6132">
        <w:rPr>
          <w:rFonts w:ascii="Arial" w:hAnsi="Arial" w:cs="Arial"/>
          <w:color w:val="010000"/>
          <w:sz w:val="20"/>
        </w:rPr>
        <w:t xml:space="preserve"> Hue province; Urban Area Project</w:t>
      </w:r>
    </w:p>
    <w:p w14:paraId="3E374353" w14:textId="77777777" w:rsidR="00F94795" w:rsidRPr="00CD6132" w:rsidRDefault="00CD6132" w:rsidP="00962F32">
      <w:pPr>
        <w:pBdr>
          <w:top w:val="nil"/>
          <w:left w:val="nil"/>
          <w:bottom w:val="nil"/>
          <w:right w:val="nil"/>
          <w:between w:val="nil"/>
        </w:pBdr>
        <w:spacing w:after="120" w:line="360" w:lineRule="auto"/>
        <w:jc w:val="both"/>
        <w:rPr>
          <w:rFonts w:ascii="Arial" w:eastAsia="Arial" w:hAnsi="Arial" w:cs="Arial"/>
          <w:color w:val="010000"/>
          <w:sz w:val="20"/>
          <w:szCs w:val="20"/>
        </w:rPr>
      </w:pPr>
      <w:r w:rsidRPr="00CD6132">
        <w:rPr>
          <w:rFonts w:ascii="Arial" w:hAnsi="Arial" w:cs="Arial"/>
          <w:color w:val="010000"/>
          <w:sz w:val="20"/>
        </w:rPr>
        <w:t>Article 2: Members named in Article 1 are responsible for prepaying for the right purpose and repaying prepayment on time, no more than 12 months from the date of receipt of prepayment. Assign the Finance and Accounting Department to carry out prepayment procedures for the right purpose and recover prepayment on time for the above individuals.</w:t>
      </w:r>
    </w:p>
    <w:p w14:paraId="691EAB08" w14:textId="77777777" w:rsidR="00F94795" w:rsidRPr="00CD6132" w:rsidRDefault="00CD6132" w:rsidP="00962F32">
      <w:pPr>
        <w:pBdr>
          <w:top w:val="nil"/>
          <w:left w:val="nil"/>
          <w:bottom w:val="nil"/>
          <w:right w:val="nil"/>
          <w:between w:val="nil"/>
        </w:pBdr>
        <w:spacing w:after="120" w:line="360" w:lineRule="auto"/>
        <w:jc w:val="both"/>
        <w:rPr>
          <w:rFonts w:ascii="Arial" w:eastAsia="Arial" w:hAnsi="Arial" w:cs="Arial"/>
          <w:color w:val="010000"/>
          <w:sz w:val="20"/>
          <w:szCs w:val="20"/>
        </w:rPr>
      </w:pPr>
      <w:r w:rsidRPr="00CD6132">
        <w:rPr>
          <w:rFonts w:ascii="Arial" w:hAnsi="Arial" w:cs="Arial"/>
          <w:color w:val="010000"/>
          <w:sz w:val="20"/>
        </w:rPr>
        <w:t>Article 3: Assign the Chair of the Board of Directors to direct the implementation of work related to the above issue.</w:t>
      </w:r>
    </w:p>
    <w:p w14:paraId="5894309D" w14:textId="0929253E" w:rsidR="00F94795" w:rsidRPr="00CD6132" w:rsidRDefault="00CD6132" w:rsidP="00962F32">
      <w:pPr>
        <w:pBdr>
          <w:top w:val="nil"/>
          <w:left w:val="nil"/>
          <w:bottom w:val="nil"/>
          <w:right w:val="nil"/>
          <w:between w:val="nil"/>
        </w:pBdr>
        <w:spacing w:after="120" w:line="360" w:lineRule="auto"/>
        <w:jc w:val="both"/>
        <w:rPr>
          <w:rFonts w:ascii="Arial" w:eastAsia="Arial" w:hAnsi="Arial" w:cs="Arial"/>
          <w:color w:val="010000"/>
          <w:sz w:val="20"/>
          <w:szCs w:val="20"/>
        </w:rPr>
        <w:sectPr w:rsidR="00F94795" w:rsidRPr="00CD6132" w:rsidSect="00CD6132">
          <w:pgSz w:w="11909" w:h="16840"/>
          <w:pgMar w:top="1440" w:right="1440" w:bottom="1440" w:left="1440" w:header="0" w:footer="3" w:gutter="0"/>
          <w:pgNumType w:start="1"/>
          <w:cols w:space="720"/>
          <w:docGrid w:linePitch="326"/>
        </w:sectPr>
      </w:pPr>
      <w:r w:rsidRPr="00CD6132">
        <w:rPr>
          <w:rFonts w:ascii="Arial" w:hAnsi="Arial" w:cs="Arial"/>
          <w:color w:val="010000"/>
          <w:sz w:val="20"/>
        </w:rPr>
        <w:t>Article 4: This Decision takes effect from the date of its signing. Members of the Boar</w:t>
      </w:r>
      <w:bookmarkStart w:id="0" w:name="_GoBack"/>
      <w:bookmarkEnd w:id="0"/>
      <w:r w:rsidRPr="00CD6132">
        <w:rPr>
          <w:rFonts w:ascii="Arial" w:hAnsi="Arial" w:cs="Arial"/>
          <w:color w:val="010000"/>
          <w:sz w:val="20"/>
        </w:rPr>
        <w:t xml:space="preserve">d of Directors, the Board of Management, professional departments and relevant individuals are responsible for implementing this Resolution. </w:t>
      </w:r>
    </w:p>
    <w:p w14:paraId="4819E7A7" w14:textId="77777777" w:rsidR="00F94795" w:rsidRPr="00CD6132" w:rsidRDefault="00F94795" w:rsidP="00962F32">
      <w:pPr>
        <w:spacing w:after="120" w:line="360" w:lineRule="auto"/>
        <w:jc w:val="both"/>
        <w:rPr>
          <w:rFonts w:ascii="Arial" w:eastAsia="Arial" w:hAnsi="Arial" w:cs="Arial"/>
          <w:color w:val="010000"/>
          <w:sz w:val="20"/>
          <w:szCs w:val="20"/>
        </w:rPr>
      </w:pPr>
    </w:p>
    <w:sectPr w:rsidR="00F94795" w:rsidRPr="00CD6132" w:rsidSect="00CD613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5"/>
    <w:rsid w:val="00962F32"/>
    <w:rsid w:val="00CD6132"/>
    <w:rsid w:val="00F9479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CAB83"/>
  <w15:docId w15:val="{B770CFFC-E307-4AEE-854E-8661F7A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47" w:lineRule="auto"/>
    </w:pPr>
    <w:rPr>
      <w:rFonts w:ascii="Times New Roman" w:eastAsia="Times New Roman" w:hAnsi="Times New Roman" w:cs="Times New Roman"/>
    </w:rPr>
  </w:style>
  <w:style w:type="paragraph" w:customStyle="1" w:styleId="Chthchbng0">
    <w:name w:val="Chú thích bảng"/>
    <w:basedOn w:val="Normal"/>
    <w:link w:val="Chthchbng"/>
    <w:pPr>
      <w:spacing w:line="252" w:lineRule="auto"/>
      <w:ind w:firstLine="340"/>
    </w:pPr>
    <w:rPr>
      <w:rFonts w:ascii="Times New Roman" w:eastAsia="Times New Roman" w:hAnsi="Times New Roman" w:cs="Times New Roman"/>
    </w:rPr>
  </w:style>
  <w:style w:type="paragraph" w:customStyle="1" w:styleId="Khc0">
    <w:name w:val="Khác"/>
    <w:basedOn w:val="Normal"/>
    <w:link w:val="Khc"/>
    <w:pPr>
      <w:spacing w:line="247"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3qq+CgZ7q6/jGK+KGq2Tvv/PFw==">CgMxLjA4AHIhMWc2RFJaOWhCOXdTZURTZWNLOXRITmJpODBLZUdVbjFC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2024-02-07T03:49:00Z</dcterms:created>
  <dcterms:modified xsi:type="dcterms:W3CDTF">2024-02-15T08:27:00Z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6709d61dd4829a1de72776fbb797154c3ac1b8180357c89a0ad04a7bad3db3e2</vt:lpwstr>
  </property>
</Properties>
</file>