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1E4A0" w14:textId="4C3EBA17" w:rsidR="00FB7146" w:rsidRDefault="001C3081" w:rsidP="000978D4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XDH: Annual Corporate Governance Report 202</w:t>
      </w:r>
      <w:r w:rsidR="00C677C3">
        <w:rPr>
          <w:rFonts w:ascii="Arial" w:hAnsi="Arial"/>
          <w:b/>
          <w:color w:val="010000"/>
          <w:sz w:val="20"/>
        </w:rPr>
        <w:t>3</w:t>
      </w:r>
      <w:r>
        <w:rPr>
          <w:rFonts w:ascii="Arial" w:hAnsi="Arial"/>
          <w:b/>
          <w:color w:val="010000"/>
          <w:sz w:val="20"/>
        </w:rPr>
        <w:t xml:space="preserve"> </w:t>
      </w:r>
    </w:p>
    <w:p w14:paraId="4F9CB946" w14:textId="77777777" w:rsidR="00FB7146" w:rsidRDefault="001C3081" w:rsidP="000978D4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sz w:val="20"/>
        </w:rPr>
        <w:t>On January 29, 2024, Hanoi Civil Construction Joint Stock Company announced Report No. 02/2024/BC-XDH on the corporate governance as follows:</w:t>
      </w:r>
      <w:r>
        <w:rPr>
          <w:rFonts w:ascii="Arial" w:hAnsi="Arial"/>
          <w:color w:val="010000"/>
          <w:sz w:val="20"/>
        </w:rPr>
        <w:t> </w:t>
      </w:r>
    </w:p>
    <w:p w14:paraId="4A7C82AD" w14:textId="77777777" w:rsidR="00FB7146" w:rsidRDefault="001C3081" w:rsidP="0009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Name of company: Hanoi Civil Construction Joint Stock Company</w:t>
      </w:r>
    </w:p>
    <w:p w14:paraId="25AE154B" w14:textId="77777777" w:rsidR="00FB7146" w:rsidRDefault="001C3081" w:rsidP="0009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 office address: No. 292 Van </w:t>
      </w:r>
      <w:proofErr w:type="spellStart"/>
      <w:r>
        <w:rPr>
          <w:rFonts w:ascii="Arial" w:hAnsi="Arial"/>
          <w:sz w:val="20"/>
        </w:rPr>
        <w:t>Chuong</w:t>
      </w:r>
      <w:proofErr w:type="spellEnd"/>
      <w:r>
        <w:rPr>
          <w:rFonts w:ascii="Arial" w:hAnsi="Arial"/>
          <w:sz w:val="20"/>
        </w:rPr>
        <w:t xml:space="preserve"> Alley, Kham </w:t>
      </w:r>
      <w:proofErr w:type="spellStart"/>
      <w:r>
        <w:rPr>
          <w:rFonts w:ascii="Arial" w:hAnsi="Arial"/>
          <w:sz w:val="20"/>
        </w:rPr>
        <w:t>Thien</w:t>
      </w:r>
      <w:proofErr w:type="spellEnd"/>
      <w:r>
        <w:rPr>
          <w:rFonts w:ascii="Arial" w:hAnsi="Arial"/>
          <w:sz w:val="20"/>
        </w:rPr>
        <w:t xml:space="preserve"> Street, Dong Da District, Hanoi</w:t>
      </w:r>
    </w:p>
    <w:p w14:paraId="2273AE0C" w14:textId="77777777" w:rsidR="00FB7146" w:rsidRDefault="001C3081" w:rsidP="0009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4231"/>
          <w:tab w:val="left" w:pos="689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Tel: 024.38513867</w:t>
      </w:r>
      <w:r>
        <w:rPr>
          <w:rFonts w:ascii="Arial" w:hAnsi="Arial"/>
          <w:sz w:val="20"/>
        </w:rPr>
        <w:tab/>
        <w:t xml:space="preserve">  Fax: 024.38511715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Email:</w:t>
      </w:r>
      <w:hyperlink r:id="rId6">
        <w:r>
          <w:rPr>
            <w:rFonts w:ascii="Arial" w:hAnsi="Arial"/>
            <w:sz w:val="20"/>
          </w:rPr>
          <w:t>info@hcci.com.vn</w:t>
        </w:r>
        <w:proofErr w:type="spellEnd"/>
      </w:hyperlink>
    </w:p>
    <w:p w14:paraId="4AE8C6FE" w14:textId="77777777" w:rsidR="00FB7146" w:rsidRDefault="001C3081" w:rsidP="0009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Charter capital: VND 270,269,070,000</w:t>
      </w:r>
    </w:p>
    <w:p w14:paraId="5F26E6CC" w14:textId="77777777" w:rsidR="00FB7146" w:rsidRDefault="001C3081" w:rsidP="0009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Securities code: XDH</w:t>
      </w:r>
    </w:p>
    <w:p w14:paraId="727108DB" w14:textId="77777777" w:rsidR="00FB7146" w:rsidRDefault="001C3081" w:rsidP="0009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Corporate Governance Model:</w:t>
      </w:r>
    </w:p>
    <w:p w14:paraId="756DB736" w14:textId="6CA2CE35" w:rsidR="00FB7146" w:rsidRDefault="000978D4" w:rsidP="000978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General Meeting</w:t>
      </w:r>
      <w:r w:rsidR="001C3081">
        <w:rPr>
          <w:rFonts w:ascii="Arial" w:hAnsi="Arial"/>
          <w:sz w:val="20"/>
        </w:rPr>
        <w:t>, Board of Director</w:t>
      </w:r>
      <w:r>
        <w:rPr>
          <w:rFonts w:ascii="Arial" w:hAnsi="Arial"/>
          <w:sz w:val="20"/>
        </w:rPr>
        <w:t>s, Supervisory Board and Managing Director</w:t>
      </w:r>
    </w:p>
    <w:p w14:paraId="0D1A83FD" w14:textId="0424FF07" w:rsidR="00FB7146" w:rsidRDefault="001C3081" w:rsidP="000978D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Activities of the </w:t>
      </w:r>
      <w:r w:rsidR="000978D4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>:</w:t>
      </w:r>
    </w:p>
    <w:p w14:paraId="4D462DA4" w14:textId="76DE1D4E" w:rsidR="00FB7146" w:rsidRDefault="001C3081" w:rsidP="000978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Information about meetings and General Mandates/Decisions of the </w:t>
      </w:r>
      <w:r w:rsidR="000978D4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(including General Mandates approved by collecting </w:t>
      </w:r>
      <w:r w:rsidR="000978D4">
        <w:rPr>
          <w:rFonts w:ascii="Arial" w:hAnsi="Arial"/>
          <w:sz w:val="20"/>
        </w:rPr>
        <w:t>ballots</w:t>
      </w:r>
      <w:r>
        <w:rPr>
          <w:rFonts w:ascii="Arial" w:hAnsi="Arial"/>
          <w:sz w:val="20"/>
        </w:rPr>
        <w:t xml:space="preserve">)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"/>
        <w:gridCol w:w="2148"/>
        <w:gridCol w:w="1255"/>
        <w:gridCol w:w="5150"/>
      </w:tblGrid>
      <w:tr w:rsidR="00FB7146" w14:paraId="4029A314" w14:textId="77777777">
        <w:trPr>
          <w:trHeight w:val="739"/>
        </w:trPr>
        <w:tc>
          <w:tcPr>
            <w:tcW w:w="463" w:type="dxa"/>
            <w:shd w:val="clear" w:color="auto" w:fill="FFFFFF"/>
            <w:vAlign w:val="center"/>
          </w:tcPr>
          <w:p w14:paraId="1851D747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148" w:type="dxa"/>
            <w:shd w:val="clear" w:color="auto" w:fill="FFFFFF"/>
            <w:vAlign w:val="bottom"/>
          </w:tcPr>
          <w:p w14:paraId="16BC8B73" w14:textId="4E9F083F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General Mandate/Decision of the </w:t>
            </w:r>
            <w:r w:rsidR="000978D4">
              <w:rPr>
                <w:rFonts w:ascii="Arial" w:hAnsi="Arial"/>
                <w:sz w:val="20"/>
              </w:rPr>
              <w:t xml:space="preserve">General Meeting 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A3E6749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150" w:type="dxa"/>
            <w:shd w:val="clear" w:color="auto" w:fill="FFFFFF"/>
            <w:vAlign w:val="center"/>
          </w:tcPr>
          <w:p w14:paraId="270D3150" w14:textId="460C3353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0978D4">
              <w:rPr>
                <w:rFonts w:ascii="Arial" w:hAnsi="Arial"/>
                <w:sz w:val="20"/>
              </w:rPr>
              <w:t>s</w:t>
            </w:r>
          </w:p>
        </w:tc>
      </w:tr>
      <w:tr w:rsidR="00FB7146" w14:paraId="49E375E4" w14:textId="77777777">
        <w:trPr>
          <w:trHeight w:val="696"/>
        </w:trPr>
        <w:tc>
          <w:tcPr>
            <w:tcW w:w="463" w:type="dxa"/>
            <w:shd w:val="clear" w:color="auto" w:fill="FFFFFF"/>
            <w:vAlign w:val="center"/>
          </w:tcPr>
          <w:p w14:paraId="18620804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03DA3B74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06/2023/NQ-DHDCD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62774E1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27, 2023</w:t>
            </w:r>
          </w:p>
        </w:tc>
        <w:tc>
          <w:tcPr>
            <w:tcW w:w="5150" w:type="dxa"/>
            <w:shd w:val="clear" w:color="auto" w:fill="FFFFFF"/>
            <w:vAlign w:val="center"/>
          </w:tcPr>
          <w:p w14:paraId="12BBCE3B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Annual General Mandate 2023</w:t>
            </w:r>
          </w:p>
        </w:tc>
      </w:tr>
    </w:tbl>
    <w:p w14:paraId="2FC27A34" w14:textId="77777777" w:rsidR="00FB7146" w:rsidRDefault="001C3081" w:rsidP="00C4701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Board of Directors</w:t>
      </w:r>
    </w:p>
    <w:p w14:paraId="52D6E0ED" w14:textId="77777777" w:rsidR="00FB7146" w:rsidRDefault="001C3081" w:rsidP="00C4701D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Board of Directors:</w:t>
      </w:r>
    </w:p>
    <w:tbl>
      <w:tblPr>
        <w:tblStyle w:val="a0"/>
        <w:tblW w:w="9016" w:type="dxa"/>
        <w:jc w:val="center"/>
        <w:tblLayout w:type="fixed"/>
        <w:tblLook w:val="0400" w:firstRow="0" w:lastRow="0" w:firstColumn="0" w:lastColumn="0" w:noHBand="0" w:noVBand="1"/>
      </w:tblPr>
      <w:tblGrid>
        <w:gridCol w:w="499"/>
        <w:gridCol w:w="2294"/>
        <w:gridCol w:w="1268"/>
        <w:gridCol w:w="1268"/>
        <w:gridCol w:w="1143"/>
        <w:gridCol w:w="1015"/>
        <w:gridCol w:w="1529"/>
      </w:tblGrid>
      <w:tr w:rsidR="00FB7146" w14:paraId="2874583B" w14:textId="77777777">
        <w:trPr>
          <w:trHeight w:val="1291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7FBB3E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3EF683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83FA3F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3242A0F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member of the Board of Directors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D6E8639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meetings attended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200D74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Attendance rate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B0DF52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Reason for absence</w:t>
            </w:r>
          </w:p>
        </w:tc>
      </w:tr>
      <w:tr w:rsidR="00FB7146" w14:paraId="1E958A02" w14:textId="77777777">
        <w:trPr>
          <w:trHeight w:val="734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69AAA0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C371C5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Do Tien </w:t>
            </w:r>
            <w:proofErr w:type="spellStart"/>
            <w:r>
              <w:rPr>
                <w:rFonts w:ascii="Arial" w:hAnsi="Arial"/>
                <w:sz w:val="20"/>
              </w:rPr>
              <w:t>Loi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6F094DE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The Chair of the Board of Directors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8BDDB1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06, 2020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C4AF5B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6/6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883104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CD4324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146" w14:paraId="529C9B5D" w14:textId="77777777">
        <w:trPr>
          <w:trHeight w:val="456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9DC1E9B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C8EFCC5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Phuong Kim Thao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483F0F3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4BF7CE2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15, 2007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126C571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6/6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77143A2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3C97E8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146" w14:paraId="3188BC6C" w14:textId="77777777">
        <w:trPr>
          <w:trHeight w:val="456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D0110D5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CEF9140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Tran Hong Tam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DA3FDDE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Members of </w:t>
            </w:r>
            <w:r>
              <w:rPr>
                <w:rFonts w:ascii="Arial" w:hAnsi="Arial"/>
                <w:sz w:val="20"/>
              </w:rPr>
              <w:lastRenderedPageBreak/>
              <w:t>the Board of Directors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74F21A2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January 15, </w:t>
            </w:r>
            <w:r>
              <w:rPr>
                <w:rFonts w:ascii="Arial" w:hAnsi="Arial"/>
                <w:sz w:val="20"/>
              </w:rPr>
              <w:lastRenderedPageBreak/>
              <w:t>2007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1CA4AF3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6/6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8AA12EF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A53FAD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146" w14:paraId="48221291" w14:textId="77777777">
        <w:trPr>
          <w:trHeight w:val="456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5B1365A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A7F0099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Doan Trinh Linh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546C89E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Board of Directors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78B49D7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15, 2007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59C7AEC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6/6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F2483F4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E707C6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146" w14:paraId="01D01379" w14:textId="77777777">
        <w:trPr>
          <w:trHeight w:val="6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F2422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A15ED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Dinh Long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7FC51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Board of Directors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77363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14, 2016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6D23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6/6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1BF31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08EB9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87A847" w14:textId="77777777" w:rsidR="00FB7146" w:rsidRDefault="001C3081" w:rsidP="00C470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8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Resolutions/Board Decisions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18"/>
        <w:gridCol w:w="2176"/>
        <w:gridCol w:w="1617"/>
        <w:gridCol w:w="4705"/>
      </w:tblGrid>
      <w:tr w:rsidR="000103BA" w14:paraId="2FEDFBD2" w14:textId="77777777" w:rsidTr="000978D4">
        <w:trPr>
          <w:trHeight w:val="739"/>
        </w:trPr>
        <w:tc>
          <w:tcPr>
            <w:tcW w:w="287" w:type="pct"/>
            <w:shd w:val="clear" w:color="auto" w:fill="FFFFFF"/>
            <w:vAlign w:val="center"/>
          </w:tcPr>
          <w:p w14:paraId="3D4F82CA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207" w:type="pct"/>
            <w:shd w:val="clear" w:color="auto" w:fill="FFFFFF"/>
            <w:vAlign w:val="bottom"/>
          </w:tcPr>
          <w:p w14:paraId="2E594571" w14:textId="11F94981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</w:t>
            </w:r>
            <w:r w:rsidR="000978D4">
              <w:rPr>
                <w:rFonts w:ascii="Arial" w:hAnsi="Arial"/>
                <w:sz w:val="20"/>
              </w:rPr>
              <w:t xml:space="preserve">Resolution/Board Decision </w:t>
            </w:r>
          </w:p>
        </w:tc>
        <w:tc>
          <w:tcPr>
            <w:tcW w:w="897" w:type="pct"/>
            <w:shd w:val="clear" w:color="auto" w:fill="FFFFFF"/>
            <w:vAlign w:val="center"/>
          </w:tcPr>
          <w:p w14:paraId="31C9D386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608" w:type="pct"/>
            <w:shd w:val="clear" w:color="auto" w:fill="FFFFFF"/>
            <w:vAlign w:val="center"/>
          </w:tcPr>
          <w:p w14:paraId="26C47C7F" w14:textId="23859A74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0978D4">
              <w:rPr>
                <w:rFonts w:ascii="Arial" w:hAnsi="Arial"/>
                <w:sz w:val="20"/>
              </w:rPr>
              <w:t>s</w:t>
            </w:r>
          </w:p>
        </w:tc>
      </w:tr>
      <w:tr w:rsidR="000103BA" w14:paraId="7ADE3497" w14:textId="77777777" w:rsidTr="000978D4">
        <w:trPr>
          <w:trHeight w:val="734"/>
        </w:trPr>
        <w:tc>
          <w:tcPr>
            <w:tcW w:w="287" w:type="pct"/>
            <w:shd w:val="clear" w:color="auto" w:fill="FFFFFF"/>
            <w:vAlign w:val="center"/>
          </w:tcPr>
          <w:p w14:paraId="57E26B79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2441E60A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02/2023/NQ-HDQT</w:t>
            </w:r>
          </w:p>
        </w:tc>
        <w:tc>
          <w:tcPr>
            <w:tcW w:w="897" w:type="pct"/>
            <w:shd w:val="clear" w:color="auto" w:fill="FFFFFF"/>
            <w:vAlign w:val="center"/>
          </w:tcPr>
          <w:p w14:paraId="0F22C263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07, 2023</w:t>
            </w:r>
          </w:p>
        </w:tc>
        <w:tc>
          <w:tcPr>
            <w:tcW w:w="2608" w:type="pct"/>
            <w:shd w:val="clear" w:color="auto" w:fill="FFFFFF"/>
            <w:vAlign w:val="bottom"/>
          </w:tcPr>
          <w:p w14:paraId="4387FEA5" w14:textId="60C260F2" w:rsidR="000103BA" w:rsidRDefault="000103BA" w:rsidP="0009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the recorded list of shareholders for </w:t>
            </w:r>
            <w:r w:rsidR="000978D4">
              <w:rPr>
                <w:rFonts w:ascii="Arial" w:hAnsi="Arial"/>
                <w:sz w:val="20"/>
              </w:rPr>
              <w:t>convening</w:t>
            </w:r>
            <w:r>
              <w:rPr>
                <w:rFonts w:ascii="Arial" w:hAnsi="Arial"/>
                <w:sz w:val="20"/>
              </w:rPr>
              <w:t xml:space="preserve"> the Annual </w:t>
            </w:r>
            <w:r w:rsidR="000978D4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</w:t>
            </w:r>
          </w:p>
        </w:tc>
      </w:tr>
      <w:tr w:rsidR="000103BA" w14:paraId="738BD36D" w14:textId="77777777" w:rsidTr="000978D4">
        <w:trPr>
          <w:trHeight w:val="730"/>
        </w:trPr>
        <w:tc>
          <w:tcPr>
            <w:tcW w:w="287" w:type="pct"/>
            <w:shd w:val="clear" w:color="auto" w:fill="FFFFFF"/>
            <w:vAlign w:val="center"/>
          </w:tcPr>
          <w:p w14:paraId="399487D5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122BBD57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09/2023/NQ-HDQT</w:t>
            </w:r>
          </w:p>
        </w:tc>
        <w:tc>
          <w:tcPr>
            <w:tcW w:w="897" w:type="pct"/>
            <w:shd w:val="clear" w:color="auto" w:fill="FFFFFF"/>
            <w:vAlign w:val="center"/>
          </w:tcPr>
          <w:p w14:paraId="330B669B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08, 2023</w:t>
            </w:r>
          </w:p>
        </w:tc>
        <w:tc>
          <w:tcPr>
            <w:tcW w:w="2608" w:type="pct"/>
            <w:shd w:val="clear" w:color="auto" w:fill="FFFFFF"/>
            <w:vAlign w:val="bottom"/>
          </w:tcPr>
          <w:p w14:paraId="576C2465" w14:textId="539F08C5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on approving the implementation of share is</w:t>
            </w:r>
            <w:r w:rsidR="000978D4">
              <w:rPr>
                <w:rFonts w:ascii="Arial" w:hAnsi="Arial"/>
                <w:sz w:val="20"/>
              </w:rPr>
              <w:t>suance to pay dividend of</w:t>
            </w:r>
            <w:r>
              <w:rPr>
                <w:rFonts w:ascii="Arial" w:hAnsi="Arial"/>
                <w:sz w:val="20"/>
              </w:rPr>
              <w:t xml:space="preserve"> 2022</w:t>
            </w:r>
          </w:p>
        </w:tc>
      </w:tr>
      <w:tr w:rsidR="000103BA" w14:paraId="0736EB00" w14:textId="77777777" w:rsidTr="000978D4">
        <w:trPr>
          <w:trHeight w:val="734"/>
        </w:trPr>
        <w:tc>
          <w:tcPr>
            <w:tcW w:w="287" w:type="pct"/>
            <w:shd w:val="clear" w:color="auto" w:fill="FFFFFF"/>
            <w:vAlign w:val="center"/>
          </w:tcPr>
          <w:p w14:paraId="563AFC6D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2FF2B6F1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11/2023/QD-HDQT</w:t>
            </w:r>
          </w:p>
        </w:tc>
        <w:tc>
          <w:tcPr>
            <w:tcW w:w="897" w:type="pct"/>
            <w:shd w:val="clear" w:color="auto" w:fill="FFFFFF"/>
            <w:vAlign w:val="center"/>
          </w:tcPr>
          <w:p w14:paraId="0D61111F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23, 2023</w:t>
            </w:r>
          </w:p>
        </w:tc>
        <w:tc>
          <w:tcPr>
            <w:tcW w:w="2608" w:type="pct"/>
            <w:shd w:val="clear" w:color="auto" w:fill="FFFFFF"/>
            <w:vAlign w:val="bottom"/>
          </w:tcPr>
          <w:p w14:paraId="5FDA965F" w14:textId="2635300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 on re</w:t>
            </w:r>
            <w:r w:rsidR="000978D4">
              <w:rPr>
                <w:rFonts w:ascii="Arial" w:hAnsi="Arial"/>
                <w:sz w:val="20"/>
              </w:rPr>
              <w:t>appointing the Company's Managing Director</w:t>
            </w:r>
            <w:r>
              <w:rPr>
                <w:rFonts w:ascii="Arial" w:hAnsi="Arial"/>
                <w:sz w:val="20"/>
              </w:rPr>
              <w:t>- Pham Tien Diep</w:t>
            </w:r>
          </w:p>
        </w:tc>
      </w:tr>
      <w:tr w:rsidR="000103BA" w14:paraId="19949F69" w14:textId="77777777" w:rsidTr="000978D4">
        <w:trPr>
          <w:trHeight w:val="739"/>
        </w:trPr>
        <w:tc>
          <w:tcPr>
            <w:tcW w:w="287" w:type="pct"/>
            <w:shd w:val="clear" w:color="auto" w:fill="FFFFFF"/>
            <w:vAlign w:val="center"/>
          </w:tcPr>
          <w:p w14:paraId="60E20D4E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5B254CEA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12/2023/NQ-HDQT</w:t>
            </w:r>
          </w:p>
        </w:tc>
        <w:tc>
          <w:tcPr>
            <w:tcW w:w="897" w:type="pct"/>
            <w:shd w:val="clear" w:color="auto" w:fill="FFFFFF"/>
            <w:vAlign w:val="center"/>
          </w:tcPr>
          <w:p w14:paraId="41049635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20, 2023</w:t>
            </w:r>
          </w:p>
        </w:tc>
        <w:tc>
          <w:tcPr>
            <w:tcW w:w="2608" w:type="pct"/>
            <w:shd w:val="clear" w:color="auto" w:fill="FFFFFF"/>
            <w:vAlign w:val="bottom"/>
          </w:tcPr>
          <w:p w14:paraId="680349FD" w14:textId="77777777" w:rsidR="000103BA" w:rsidRDefault="000103BA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on approving the payment of  dividends 2022 in cash and by shares</w:t>
            </w:r>
          </w:p>
        </w:tc>
      </w:tr>
    </w:tbl>
    <w:p w14:paraId="1BF5BBB9" w14:textId="175DF172" w:rsidR="00FB7146" w:rsidRDefault="001C3081" w:rsidP="00C4701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Supervisory Board (Annual Report 2021)</w:t>
      </w:r>
    </w:p>
    <w:p w14:paraId="3D2F632D" w14:textId="42051FC7" w:rsidR="00FB7146" w:rsidRPr="000103BA" w:rsidRDefault="001C3081" w:rsidP="00C4701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Supervisory Board:</w:t>
      </w:r>
    </w:p>
    <w:tbl>
      <w:tblPr>
        <w:tblStyle w:val="a2"/>
        <w:tblW w:w="9016" w:type="dxa"/>
        <w:tblLayout w:type="fixed"/>
        <w:tblLook w:val="0400" w:firstRow="0" w:lastRow="0" w:firstColumn="0" w:lastColumn="0" w:noHBand="0" w:noVBand="1"/>
      </w:tblPr>
      <w:tblGrid>
        <w:gridCol w:w="518"/>
        <w:gridCol w:w="2488"/>
        <w:gridCol w:w="1242"/>
        <w:gridCol w:w="2153"/>
        <w:gridCol w:w="2615"/>
      </w:tblGrid>
      <w:tr w:rsidR="00FB7146" w14:paraId="49F73BEE" w14:textId="77777777">
        <w:trPr>
          <w:trHeight w:val="7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FC8D50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C61958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Supervisory Board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C7124C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15B277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member of the Supervisory Board.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C7CA9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FB7146" w14:paraId="7E15B48E" w14:textId="77777777">
        <w:trPr>
          <w:trHeight w:val="8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C2FFD1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DCAD0C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Nguyen Thi Hai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E78112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4F75F7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6, 2008 - May 19, 2012</w:t>
            </w:r>
          </w:p>
          <w:p w14:paraId="366D6A2F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27, 2017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F64AB" w14:textId="26AC9248" w:rsidR="00FB7146" w:rsidRDefault="000978D4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1C3081">
              <w:rPr>
                <w:rFonts w:ascii="Arial" w:hAnsi="Arial"/>
                <w:sz w:val="20"/>
              </w:rPr>
              <w:t xml:space="preserve"> Accounting in Economics University</w:t>
            </w:r>
          </w:p>
        </w:tc>
      </w:tr>
      <w:tr w:rsidR="00FB7146" w14:paraId="46406847" w14:textId="77777777">
        <w:trPr>
          <w:trHeight w:val="45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1BCB3E2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F4DA829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Le Thi Kim Ngan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1391C8A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708A656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27, 2023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E200AB" w14:textId="63016BC1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Bachelor at </w:t>
            </w:r>
            <w:r w:rsidR="000978D4">
              <w:rPr>
                <w:rFonts w:ascii="Arial" w:hAnsi="Arial"/>
                <w:sz w:val="20"/>
              </w:rPr>
              <w:t xml:space="preserve">the </w:t>
            </w:r>
            <w:r>
              <w:rPr>
                <w:rFonts w:ascii="Arial" w:hAnsi="Arial"/>
                <w:sz w:val="20"/>
              </w:rPr>
              <w:t>Academy of Finance</w:t>
            </w:r>
          </w:p>
        </w:tc>
      </w:tr>
      <w:tr w:rsidR="00FB7146" w14:paraId="58E3ACD1" w14:textId="77777777">
        <w:trPr>
          <w:trHeight w:val="4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D4290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F4ED4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Ms. Tran Thuy </w:t>
            </w:r>
            <w:proofErr w:type="spellStart"/>
            <w:r>
              <w:rPr>
                <w:rFonts w:ascii="Arial" w:hAnsi="Arial"/>
                <w:sz w:val="20"/>
              </w:rPr>
              <w:t>Hanh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FDD8E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34F74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27, 2017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BD7D3" w14:textId="230B3D72" w:rsidR="00FB7146" w:rsidRDefault="000978D4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1C3081">
              <w:rPr>
                <w:rFonts w:ascii="Arial" w:hAnsi="Arial"/>
                <w:sz w:val="20"/>
              </w:rPr>
              <w:t xml:space="preserve"> Economics</w:t>
            </w:r>
          </w:p>
        </w:tc>
      </w:tr>
    </w:tbl>
    <w:p w14:paraId="31757199" w14:textId="16804B8E" w:rsidR="00FB7146" w:rsidRDefault="001C3081" w:rsidP="00C4701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Executive Board:</w:t>
      </w:r>
    </w:p>
    <w:tbl>
      <w:tblPr>
        <w:tblStyle w:val="a3"/>
        <w:tblW w:w="9016" w:type="dxa"/>
        <w:tblLayout w:type="fixed"/>
        <w:tblLook w:val="0400" w:firstRow="0" w:lastRow="0" w:firstColumn="0" w:lastColumn="0" w:noHBand="0" w:noVBand="1"/>
      </w:tblPr>
      <w:tblGrid>
        <w:gridCol w:w="627"/>
        <w:gridCol w:w="2286"/>
        <w:gridCol w:w="1464"/>
        <w:gridCol w:w="2205"/>
        <w:gridCol w:w="1237"/>
        <w:gridCol w:w="1197"/>
      </w:tblGrid>
      <w:tr w:rsidR="00FB7146" w14:paraId="2F25302C" w14:textId="77777777">
        <w:trPr>
          <w:trHeight w:val="686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93C54A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045F08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Executive Board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BE83C2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D18440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CB7A72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Date of appointment/dismissal as member of the Executive </w:t>
            </w:r>
            <w:r>
              <w:rPr>
                <w:rFonts w:ascii="Arial" w:hAnsi="Arial"/>
                <w:sz w:val="20"/>
              </w:rPr>
              <w:lastRenderedPageBreak/>
              <w:t>Board</w:t>
            </w:r>
          </w:p>
        </w:tc>
      </w:tr>
      <w:tr w:rsidR="00FB7146" w14:paraId="66AB9445" w14:textId="77777777">
        <w:trPr>
          <w:trHeight w:val="68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B5C9C6" w14:textId="77777777" w:rsidR="00FB7146" w:rsidRDefault="00FB7146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0A76D7" w14:textId="77777777" w:rsidR="00FB7146" w:rsidRDefault="00FB7146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7DDBA4" w14:textId="77777777" w:rsidR="00FB7146" w:rsidRDefault="00FB7146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5FEBA3" w14:textId="77777777" w:rsidR="00FB7146" w:rsidRDefault="00FB7146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EDF8383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C51461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Dismissal date</w:t>
            </w:r>
          </w:p>
        </w:tc>
      </w:tr>
      <w:tr w:rsidR="00FB7146" w14:paraId="64358258" w14:textId="77777777">
        <w:trPr>
          <w:trHeight w:val="68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63FC66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D6AD06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Mr</w:t>
            </w:r>
            <w:proofErr w:type="spellEnd"/>
            <w:r>
              <w:rPr>
                <w:rFonts w:ascii="Arial" w:hAnsi="Arial"/>
                <w:sz w:val="20"/>
              </w:rPr>
              <w:t xml:space="preserve"> Pham Tien Diep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B87C18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10, 1979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F7D9868" w14:textId="38F32B4C" w:rsidR="00FB7146" w:rsidRDefault="000978D4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1C3081">
              <w:rPr>
                <w:rFonts w:ascii="Arial" w:hAnsi="Arial"/>
                <w:sz w:val="20"/>
              </w:rPr>
              <w:t xml:space="preserve"> Economics, major in Finance - Credit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4CB902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22, 2020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62326E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146" w14:paraId="2B896EA1" w14:textId="77777777">
        <w:trPr>
          <w:trHeight w:val="40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3D668BF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37D4E1E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Tran Quang Khue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92A8992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03, 1979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FEC9A7A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Engineering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2EF1EA6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08, 2016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77A88A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146" w14:paraId="42E73D0D" w14:textId="77777777">
        <w:trPr>
          <w:trHeight w:val="41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265EEAE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B825B09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/>
                <w:sz w:val="20"/>
              </w:rPr>
              <w:t>Binh</w:t>
            </w:r>
            <w:proofErr w:type="spellEnd"/>
            <w:r>
              <w:rPr>
                <w:rFonts w:ascii="Arial" w:hAnsi="Arial"/>
                <w:sz w:val="20"/>
              </w:rPr>
              <w:t xml:space="preserve"> Nam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2EB293C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07, 1973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299A8C7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Construction Engineer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ECCD28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01, 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762D3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956520" w14:textId="0BA990D4" w:rsidR="00FB7146" w:rsidRDefault="001C3081" w:rsidP="00C4701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Chief Accountant:</w:t>
      </w:r>
    </w:p>
    <w:tbl>
      <w:tblPr>
        <w:tblStyle w:val="a4"/>
        <w:tblW w:w="9016" w:type="dxa"/>
        <w:tblLayout w:type="fixed"/>
        <w:tblLook w:val="0400" w:firstRow="0" w:lastRow="0" w:firstColumn="0" w:lastColumn="0" w:noHBand="0" w:noVBand="1"/>
      </w:tblPr>
      <w:tblGrid>
        <w:gridCol w:w="2629"/>
        <w:gridCol w:w="1866"/>
        <w:gridCol w:w="2862"/>
        <w:gridCol w:w="1659"/>
      </w:tblGrid>
      <w:tr w:rsidR="00FB7146" w14:paraId="01F33FC3" w14:textId="77777777" w:rsidTr="000978D4">
        <w:trPr>
          <w:trHeight w:val="6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55435B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805E5E2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50D130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60039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</w:tr>
      <w:tr w:rsidR="00FB7146" w14:paraId="1D43EDE1" w14:textId="77777777" w:rsidTr="000978D4">
        <w:trPr>
          <w:trHeight w:val="413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E1C007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Nguyen Thi Thu Thuy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E90C27B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09, 1981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281D5DB" w14:textId="5ABAD20C" w:rsidR="00FB7146" w:rsidRDefault="000978D4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1C3081">
              <w:rPr>
                <w:rFonts w:ascii="Arial" w:hAnsi="Arial"/>
                <w:sz w:val="20"/>
              </w:rPr>
              <w:t xml:space="preserve"> Economics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F5FEFC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01, 2023</w:t>
            </w:r>
          </w:p>
        </w:tc>
      </w:tr>
    </w:tbl>
    <w:p w14:paraId="23189B13" w14:textId="77777777" w:rsidR="000103BA" w:rsidRDefault="001C3081" w:rsidP="000978D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on corporate governance</w:t>
      </w:r>
    </w:p>
    <w:p w14:paraId="5B138F2E" w14:textId="4A99D256" w:rsidR="00FB7146" w:rsidRPr="001C3081" w:rsidRDefault="001C3081" w:rsidP="000978D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List of related person of the public Company and transactions between the related person of the Company with the Company itself</w:t>
      </w:r>
    </w:p>
    <w:p w14:paraId="1868C290" w14:textId="6346865A" w:rsidR="00FB7146" w:rsidRPr="000103BA" w:rsidRDefault="001C3081" w:rsidP="000978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3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its related persons; or between the Company and major shareholders, PDMR, related persons of PDMR: None</w:t>
      </w:r>
    </w:p>
    <w:p w14:paraId="05FCC28B" w14:textId="75505459" w:rsidR="00FB7146" w:rsidRDefault="001C3081" w:rsidP="0009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2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Company’s PDMR, </w:t>
      </w:r>
      <w:r w:rsidR="000978D4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and subsidiaries or companies controlled by the Company: None</w:t>
      </w:r>
    </w:p>
    <w:p w14:paraId="4CBFF2C3" w14:textId="77777777" w:rsidR="00FB7146" w:rsidRDefault="001C3081" w:rsidP="0009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3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other entities: None</w:t>
      </w:r>
    </w:p>
    <w:p w14:paraId="7AD0F961" w14:textId="3D81FF03" w:rsidR="00FB7146" w:rsidRDefault="001C3081" w:rsidP="00097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the companies in which members of the Board of Directors, member</w:t>
      </w:r>
      <w:r w:rsidR="000978D4">
        <w:rPr>
          <w:rFonts w:ascii="Arial" w:hAnsi="Arial"/>
          <w:sz w:val="20"/>
        </w:rPr>
        <w:t xml:space="preserve">s of the Supervisory Board or </w:t>
      </w:r>
      <w:r>
        <w:rPr>
          <w:rFonts w:ascii="Arial" w:hAnsi="Arial"/>
          <w:sz w:val="20"/>
        </w:rPr>
        <w:t>Executive Manager (</w:t>
      </w:r>
      <w:r w:rsidR="000978D4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) have been founding members or members</w:t>
      </w:r>
      <w:r w:rsidR="000978D4">
        <w:rPr>
          <w:rFonts w:ascii="Arial" w:hAnsi="Arial"/>
          <w:sz w:val="20"/>
        </w:rPr>
        <w:t xml:space="preserve"> of the Board of Directors and </w:t>
      </w:r>
      <w:r>
        <w:rPr>
          <w:rFonts w:ascii="Arial" w:hAnsi="Arial"/>
          <w:sz w:val="20"/>
        </w:rPr>
        <w:t>Executive Manager (</w:t>
      </w:r>
      <w:r w:rsidR="000978D4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) for the past three (03) years (calculated at </w:t>
      </w:r>
      <w:r w:rsidR="000978D4">
        <w:rPr>
          <w:rFonts w:ascii="Arial" w:hAnsi="Arial"/>
          <w:sz w:val="20"/>
        </w:rPr>
        <w:t>the date</w:t>
      </w:r>
      <w:bookmarkStart w:id="0" w:name="_GoBack"/>
      <w:bookmarkEnd w:id="0"/>
      <w:r>
        <w:rPr>
          <w:rFonts w:ascii="Arial" w:hAnsi="Arial"/>
          <w:sz w:val="20"/>
        </w:rPr>
        <w:t xml:space="preserve"> of reporting). None</w:t>
      </w:r>
    </w:p>
    <w:p w14:paraId="3DFBF693" w14:textId="4C043F24" w:rsidR="00FB7146" w:rsidRDefault="001C3081" w:rsidP="00097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the companies where </w:t>
      </w:r>
      <w:r w:rsidR="000978D4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members of the Board of Directors, members of the Supervisory Board and the Executive Manager (</w:t>
      </w:r>
      <w:r w:rsidR="000978D4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) </w:t>
      </w:r>
      <w:r w:rsidR="000978D4">
        <w:rPr>
          <w:rFonts w:ascii="Arial" w:hAnsi="Arial"/>
          <w:sz w:val="20"/>
        </w:rPr>
        <w:t xml:space="preserve">who </w:t>
      </w:r>
      <w:r>
        <w:rPr>
          <w:rFonts w:ascii="Arial" w:hAnsi="Arial"/>
          <w:sz w:val="20"/>
        </w:rPr>
        <w:t>are membe</w:t>
      </w:r>
      <w:r w:rsidR="000978D4">
        <w:rPr>
          <w:rFonts w:ascii="Arial" w:hAnsi="Arial"/>
          <w:sz w:val="20"/>
        </w:rPr>
        <w:t xml:space="preserve">rs of the Board of Directors or </w:t>
      </w:r>
      <w:r>
        <w:rPr>
          <w:rFonts w:ascii="Arial" w:hAnsi="Arial"/>
          <w:sz w:val="20"/>
        </w:rPr>
        <w:t>Executive Manager (</w:t>
      </w:r>
      <w:r w:rsidR="000978D4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): None</w:t>
      </w:r>
    </w:p>
    <w:p w14:paraId="062F3475" w14:textId="64A0AE58" w:rsidR="00FB7146" w:rsidRDefault="001C3081" w:rsidP="00097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2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transactions of the Company (if any) that can bring about material or non-material benefits to members of the Board of Directors, members o</w:t>
      </w:r>
      <w:r w:rsidR="000978D4">
        <w:rPr>
          <w:rFonts w:ascii="Arial" w:hAnsi="Arial"/>
          <w:sz w:val="20"/>
        </w:rPr>
        <w:t>f the Supervisory Board and</w:t>
      </w:r>
      <w:r>
        <w:rPr>
          <w:rFonts w:ascii="Arial" w:hAnsi="Arial"/>
          <w:sz w:val="20"/>
        </w:rPr>
        <w:t xml:space="preserve"> Executive Manager (</w:t>
      </w:r>
      <w:r w:rsidR="000978D4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): None</w:t>
      </w:r>
    </w:p>
    <w:p w14:paraId="74BC4A4B" w14:textId="4BE84359" w:rsidR="000103BA" w:rsidRDefault="001C3081" w:rsidP="00C4701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Share transactions of PDMR and </w:t>
      </w:r>
      <w:r w:rsidR="000978D4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PDMR:</w:t>
      </w:r>
    </w:p>
    <w:p w14:paraId="70446A4C" w14:textId="683C8120" w:rsidR="00FB7146" w:rsidRPr="000103BA" w:rsidRDefault="001C3081" w:rsidP="00C4701D">
      <w:pPr>
        <w:pStyle w:val="ListParagraph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Company’s shares transactions between PDMR and </w:t>
      </w:r>
      <w:r w:rsidR="000978D4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persons: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1489"/>
        <w:gridCol w:w="1360"/>
        <w:gridCol w:w="721"/>
        <w:gridCol w:w="1010"/>
        <w:gridCol w:w="730"/>
        <w:gridCol w:w="1010"/>
        <w:gridCol w:w="820"/>
        <w:gridCol w:w="1410"/>
      </w:tblGrid>
      <w:tr w:rsidR="00FB7146" w14:paraId="10FA0489" w14:textId="77777777">
        <w:trPr>
          <w:trHeight w:val="1291"/>
        </w:trPr>
        <w:tc>
          <w:tcPr>
            <w:tcW w:w="466" w:type="dxa"/>
            <w:shd w:val="clear" w:color="auto" w:fill="FFFFFF"/>
          </w:tcPr>
          <w:p w14:paraId="0BAECA9E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489" w:type="dxa"/>
            <w:shd w:val="clear" w:color="auto" w:fill="FFFFFF"/>
          </w:tcPr>
          <w:p w14:paraId="4B9FBD2E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Transaction conductor</w:t>
            </w:r>
          </w:p>
        </w:tc>
        <w:tc>
          <w:tcPr>
            <w:tcW w:w="1360" w:type="dxa"/>
            <w:shd w:val="clear" w:color="auto" w:fill="FFFFFF"/>
          </w:tcPr>
          <w:p w14:paraId="4A2966E0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721" w:type="dxa"/>
            <w:shd w:val="clear" w:color="auto" w:fill="FFFFFF"/>
            <w:vAlign w:val="bottom"/>
          </w:tcPr>
          <w:p w14:paraId="315C7F0F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Relations with PMDR</w:t>
            </w:r>
          </w:p>
        </w:tc>
        <w:tc>
          <w:tcPr>
            <w:tcW w:w="1740" w:type="dxa"/>
            <w:gridSpan w:val="2"/>
            <w:shd w:val="clear" w:color="auto" w:fill="FFFFFF"/>
          </w:tcPr>
          <w:p w14:paraId="44833A91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 owned at the beginning of the period</w:t>
            </w:r>
          </w:p>
        </w:tc>
        <w:tc>
          <w:tcPr>
            <w:tcW w:w="1830" w:type="dxa"/>
            <w:gridSpan w:val="2"/>
            <w:shd w:val="clear" w:color="auto" w:fill="FFFFFF"/>
          </w:tcPr>
          <w:p w14:paraId="796A9787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 owned at the end of the period</w:t>
            </w:r>
          </w:p>
        </w:tc>
        <w:tc>
          <w:tcPr>
            <w:tcW w:w="1410" w:type="dxa"/>
            <w:shd w:val="clear" w:color="auto" w:fill="FFFFFF"/>
            <w:vAlign w:val="bottom"/>
          </w:tcPr>
          <w:p w14:paraId="0944017E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Reasons for increase or decrease (buy, sell, convert, reward, ...)</w:t>
            </w:r>
          </w:p>
        </w:tc>
      </w:tr>
      <w:tr w:rsidR="00FB7146" w14:paraId="070B3C97" w14:textId="77777777">
        <w:trPr>
          <w:trHeight w:val="1008"/>
        </w:trPr>
        <w:tc>
          <w:tcPr>
            <w:tcW w:w="466" w:type="dxa"/>
            <w:shd w:val="clear" w:color="auto" w:fill="FFFFFF"/>
          </w:tcPr>
          <w:p w14:paraId="628CB35D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14:paraId="4AC9EE72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FF"/>
          </w:tcPr>
          <w:p w14:paraId="3FCD6853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</w:tcPr>
          <w:p w14:paraId="46281AFC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FFFFFF"/>
            <w:vAlign w:val="center"/>
          </w:tcPr>
          <w:p w14:paraId="0B9FFF6E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</w:t>
            </w:r>
          </w:p>
        </w:tc>
        <w:tc>
          <w:tcPr>
            <w:tcW w:w="730" w:type="dxa"/>
            <w:shd w:val="clear" w:color="auto" w:fill="FFFFFF"/>
          </w:tcPr>
          <w:p w14:paraId="1416D630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Rate</w:t>
            </w:r>
          </w:p>
        </w:tc>
        <w:tc>
          <w:tcPr>
            <w:tcW w:w="1010" w:type="dxa"/>
            <w:shd w:val="clear" w:color="auto" w:fill="FFFFFF"/>
            <w:vAlign w:val="center"/>
          </w:tcPr>
          <w:p w14:paraId="4B239DE5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</w:t>
            </w:r>
          </w:p>
        </w:tc>
        <w:tc>
          <w:tcPr>
            <w:tcW w:w="820" w:type="dxa"/>
            <w:shd w:val="clear" w:color="auto" w:fill="FFFFFF"/>
          </w:tcPr>
          <w:p w14:paraId="306D2559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Rate</w:t>
            </w:r>
          </w:p>
        </w:tc>
        <w:tc>
          <w:tcPr>
            <w:tcW w:w="1410" w:type="dxa"/>
            <w:shd w:val="clear" w:color="auto" w:fill="FFFFFF"/>
          </w:tcPr>
          <w:p w14:paraId="663E81ED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146" w14:paraId="32A6C157" w14:textId="77777777">
        <w:trPr>
          <w:trHeight w:val="739"/>
        </w:trPr>
        <w:tc>
          <w:tcPr>
            <w:tcW w:w="466" w:type="dxa"/>
            <w:shd w:val="clear" w:color="auto" w:fill="FFFFFF"/>
            <w:vAlign w:val="center"/>
          </w:tcPr>
          <w:p w14:paraId="55201803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89" w:type="dxa"/>
            <w:shd w:val="clear" w:color="auto" w:fill="FFFFFF"/>
            <w:vAlign w:val="bottom"/>
          </w:tcPr>
          <w:p w14:paraId="4B461CE8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Phuong Kim Thao</w:t>
            </w:r>
          </w:p>
        </w:tc>
        <w:tc>
          <w:tcPr>
            <w:tcW w:w="1360" w:type="dxa"/>
            <w:shd w:val="clear" w:color="auto" w:fill="FFFFFF"/>
            <w:vAlign w:val="bottom"/>
          </w:tcPr>
          <w:p w14:paraId="5BCFC6BF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Directors:</w:t>
            </w:r>
          </w:p>
        </w:tc>
        <w:tc>
          <w:tcPr>
            <w:tcW w:w="721" w:type="dxa"/>
            <w:shd w:val="clear" w:color="auto" w:fill="FFFFFF"/>
          </w:tcPr>
          <w:p w14:paraId="4D087EC1" w14:textId="77777777" w:rsidR="00FB7146" w:rsidRDefault="00FB7146" w:rsidP="00C4701D">
            <w:pP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FFFFFF"/>
            <w:vAlign w:val="center"/>
          </w:tcPr>
          <w:p w14:paraId="59F38522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3,892,379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6E474D14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14.4%</w:t>
            </w:r>
          </w:p>
        </w:tc>
        <w:tc>
          <w:tcPr>
            <w:tcW w:w="1010" w:type="dxa"/>
            <w:shd w:val="clear" w:color="auto" w:fill="FFFFFF"/>
            <w:vAlign w:val="center"/>
          </w:tcPr>
          <w:p w14:paraId="4064EF67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3,907,379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7B411510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14.46%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0AD1EE11" w14:textId="77777777" w:rsidR="00FB7146" w:rsidRDefault="001C3081" w:rsidP="00C47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Buy</w:t>
            </w:r>
          </w:p>
        </w:tc>
      </w:tr>
    </w:tbl>
    <w:p w14:paraId="2C56FEF1" w14:textId="58889F8E" w:rsidR="00FB7146" w:rsidRDefault="001C3081" w:rsidP="00C4701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significant issues: None.</w:t>
      </w:r>
    </w:p>
    <w:sectPr w:rsidR="00FB7146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4B"/>
    <w:multiLevelType w:val="hybridMultilevel"/>
    <w:tmpl w:val="D058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6D3"/>
    <w:multiLevelType w:val="multilevel"/>
    <w:tmpl w:val="6526E4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2D429C"/>
    <w:multiLevelType w:val="multilevel"/>
    <w:tmpl w:val="4DE6D3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8514B99"/>
    <w:multiLevelType w:val="multilevel"/>
    <w:tmpl w:val="DC8475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B51BA8"/>
    <w:multiLevelType w:val="hybridMultilevel"/>
    <w:tmpl w:val="E00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A469A"/>
    <w:multiLevelType w:val="multilevel"/>
    <w:tmpl w:val="67D0F31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46"/>
    <w:rsid w:val="000103BA"/>
    <w:rsid w:val="000978D4"/>
    <w:rsid w:val="001C3081"/>
    <w:rsid w:val="00C4701D"/>
    <w:rsid w:val="00C677C3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8A04"/>
  <w15:docId w15:val="{676C0E5C-0A1D-4257-8B63-5359F035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3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mallCaps/>
      <w:sz w:val="16"/>
      <w:szCs w:val="16"/>
    </w:rPr>
  </w:style>
  <w:style w:type="paragraph" w:customStyle="1" w:styleId="Heading11">
    <w:name w:val="Heading #1"/>
    <w:basedOn w:val="Normal"/>
    <w:link w:val="Heading10"/>
    <w:pPr>
      <w:ind w:firstLine="2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8B3D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01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cc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EMv6Z/73Pt7ip3wwZxhj19E8nQ==">CgMxLjA4AHIhMVducUhvTy1QWF8tdXN0V1U3ZmNEVV9NS1RKVWhONHRs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Nguyen Duc Quan</cp:lastModifiedBy>
  <cp:revision>2</cp:revision>
  <dcterms:created xsi:type="dcterms:W3CDTF">2024-02-18T06:33:00Z</dcterms:created>
  <dcterms:modified xsi:type="dcterms:W3CDTF">2024-02-18T06:33:00Z</dcterms:modified>
</cp:coreProperties>
</file>