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F41C" w14:textId="20F38F4E" w:rsidR="001E359C" w:rsidRDefault="000540AD" w:rsidP="00D82BB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XMC: Annual Corporate Governance Report 202</w:t>
      </w:r>
      <w:r w:rsidR="00975230">
        <w:rPr>
          <w:rFonts w:ascii="Arial" w:hAnsi="Arial"/>
          <w:b/>
          <w:color w:val="010000"/>
          <w:sz w:val="20"/>
        </w:rPr>
        <w:t>3</w:t>
      </w:r>
    </w:p>
    <w:p w14:paraId="1668C9A4" w14:textId="77777777" w:rsidR="001E359C" w:rsidRDefault="000540AD" w:rsidP="00D82BB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30, 2024, </w:t>
      </w:r>
      <w:proofErr w:type="spellStart"/>
      <w:r>
        <w:rPr>
          <w:rFonts w:ascii="Arial" w:hAnsi="Arial"/>
          <w:sz w:val="20"/>
        </w:rPr>
        <w:t>Vinaconex</w:t>
      </w:r>
      <w:proofErr w:type="spellEnd"/>
      <w:r>
        <w:rPr>
          <w:rFonts w:ascii="Arial" w:hAnsi="Arial"/>
          <w:sz w:val="20"/>
        </w:rPr>
        <w:t xml:space="preserve"> Xuan Mai Concrete &amp; Construction JSC announced Report No</w:t>
      </w:r>
      <w:r w:rsidRPr="00D82BBD">
        <w:rPr>
          <w:rFonts w:ascii="Arial" w:hAnsi="Arial"/>
          <w:color w:val="auto"/>
          <w:sz w:val="20"/>
        </w:rPr>
        <w:t>. 35/2</w:t>
      </w:r>
      <w:r>
        <w:rPr>
          <w:rFonts w:ascii="Arial" w:hAnsi="Arial"/>
          <w:sz w:val="20"/>
        </w:rPr>
        <w:t>023/BC/XMC on corporate governance in 2023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4D0C4888" w14:textId="77777777" w:rsidR="001E359C" w:rsidRDefault="000540AD" w:rsidP="00D82B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</w:t>
      </w:r>
      <w:proofErr w:type="spellStart"/>
      <w:r>
        <w:rPr>
          <w:rFonts w:ascii="Arial" w:hAnsi="Arial"/>
          <w:sz w:val="20"/>
        </w:rPr>
        <w:t>Vinaconex</w:t>
      </w:r>
      <w:proofErr w:type="spellEnd"/>
      <w:r>
        <w:rPr>
          <w:rFonts w:ascii="Arial" w:hAnsi="Arial"/>
          <w:sz w:val="20"/>
        </w:rPr>
        <w:t xml:space="preserve"> Xuan Mai Concrete &amp; Construction JSC</w:t>
      </w:r>
    </w:p>
    <w:p w14:paraId="6B476CD5" w14:textId="77777777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4th Floor, Xuan Mai Tower, To Hieu Street, Ha </w:t>
      </w:r>
      <w:proofErr w:type="spellStart"/>
      <w:r>
        <w:rPr>
          <w:rFonts w:ascii="Arial" w:hAnsi="Arial"/>
          <w:sz w:val="20"/>
        </w:rPr>
        <w:t>Cau</w:t>
      </w:r>
      <w:proofErr w:type="spellEnd"/>
      <w:r>
        <w:rPr>
          <w:rFonts w:ascii="Arial" w:hAnsi="Arial"/>
          <w:sz w:val="20"/>
        </w:rPr>
        <w:t xml:space="preserve"> Ward, Ha Dong District, Hanoi</w:t>
      </w:r>
    </w:p>
    <w:p w14:paraId="2E272902" w14:textId="77777777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90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024.73038866</w:t>
      </w:r>
      <w:proofErr w:type="gramStart"/>
      <w:r>
        <w:rPr>
          <w:rFonts w:ascii="Arial" w:hAnsi="Arial"/>
          <w:sz w:val="20"/>
        </w:rPr>
        <w:tab/>
        <w:t xml:space="preserve">  Fax</w:t>
      </w:r>
      <w:proofErr w:type="gramEnd"/>
      <w:r>
        <w:rPr>
          <w:rFonts w:ascii="Arial" w:hAnsi="Arial"/>
          <w:sz w:val="20"/>
        </w:rPr>
        <w:t>: 024.73078866</w:t>
      </w:r>
    </w:p>
    <w:p w14:paraId="2F5CEE7F" w14:textId="77777777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Email: </w:t>
      </w:r>
      <w:hyperlink r:id="rId6">
        <w:r>
          <w:rPr>
            <w:rFonts w:ascii="Arial" w:hAnsi="Arial"/>
            <w:sz w:val="20"/>
          </w:rPr>
          <w:t>info@xuanmaicorp.vn</w:t>
        </w:r>
      </w:hyperlink>
    </w:p>
    <w:p w14:paraId="1B363D87" w14:textId="77777777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673,643,390,000</w:t>
      </w:r>
    </w:p>
    <w:p w14:paraId="0AE33126" w14:textId="77777777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XMC</w:t>
      </w:r>
    </w:p>
    <w:p w14:paraId="48E12EC2" w14:textId="198CADC5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D82BB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, the Board of Directors, the Supervisory Board, and the </w:t>
      </w:r>
      <w:r w:rsidR="00D82BBD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.</w:t>
      </w:r>
    </w:p>
    <w:p w14:paraId="01CBABE9" w14:textId="5A9FBC3D" w:rsidR="001E359C" w:rsidRDefault="000540AD" w:rsidP="00D82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audit: Implemented</w:t>
      </w:r>
    </w:p>
    <w:p w14:paraId="7D8EBE8A" w14:textId="5B0BB631" w:rsidR="001E359C" w:rsidRPr="00AA1DB1" w:rsidRDefault="000540AD" w:rsidP="00D82BB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D82BBD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tbl>
      <w:tblPr>
        <w:tblStyle w:val="a"/>
        <w:tblW w:w="13948" w:type="dxa"/>
        <w:tblLayout w:type="fixed"/>
        <w:tblLook w:val="0000" w:firstRow="0" w:lastRow="0" w:firstColumn="0" w:lastColumn="0" w:noHBand="0" w:noVBand="0"/>
      </w:tblPr>
      <w:tblGrid>
        <w:gridCol w:w="935"/>
        <w:gridCol w:w="4820"/>
        <w:gridCol w:w="1916"/>
        <w:gridCol w:w="6277"/>
      </w:tblGrid>
      <w:tr w:rsidR="001E359C" w14:paraId="2B90F42D" w14:textId="77777777">
        <w:trPr>
          <w:trHeight w:val="47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30BD7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0E1E024" w14:textId="5AB63A21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</w:t>
            </w:r>
            <w:r w:rsidR="00D82BBD">
              <w:rPr>
                <w:rFonts w:ascii="Arial" w:hAnsi="Arial"/>
                <w:sz w:val="20"/>
              </w:rPr>
              <w:t>General Meeting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60915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B52673" w14:textId="06D620BC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82BBD">
              <w:rPr>
                <w:rFonts w:ascii="Arial" w:hAnsi="Arial"/>
                <w:sz w:val="20"/>
              </w:rPr>
              <w:t>s</w:t>
            </w:r>
          </w:p>
        </w:tc>
      </w:tr>
      <w:tr w:rsidR="001E359C" w14:paraId="49DF4C62" w14:textId="77777777">
        <w:trPr>
          <w:trHeight w:val="47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F4397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E4E53C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08/2023/NQ/XMC-DHDCDTN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F05AA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D260FB" w14:textId="037DA95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D82BBD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</w:tbl>
    <w:p w14:paraId="3A1677E4" w14:textId="6AACF256" w:rsidR="00AA1DB1" w:rsidRDefault="000540AD" w:rsidP="007818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</w:t>
      </w:r>
    </w:p>
    <w:p w14:paraId="12364E34" w14:textId="74D42AA8" w:rsidR="001E359C" w:rsidRPr="00AA1DB1" w:rsidRDefault="000540AD" w:rsidP="007818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Directors.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719"/>
        <w:gridCol w:w="3599"/>
        <w:gridCol w:w="2773"/>
        <w:gridCol w:w="2781"/>
      </w:tblGrid>
      <w:tr w:rsidR="001E359C" w14:paraId="564ECE77" w14:textId="77777777">
        <w:trPr>
          <w:trHeight w:val="730"/>
        </w:trPr>
        <w:tc>
          <w:tcPr>
            <w:tcW w:w="1076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62D0E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719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F5B1C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3599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B1A9B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5554" w:type="dxa"/>
            <w:gridSpan w:val="2"/>
            <w:shd w:val="clear" w:color="auto" w:fill="FFFFFF"/>
            <w:tcMar>
              <w:top w:w="0" w:type="dxa"/>
              <w:bottom w:w="0" w:type="dxa"/>
            </w:tcMar>
          </w:tcPr>
          <w:p w14:paraId="4FC8681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Board of Directors</w:t>
            </w:r>
          </w:p>
        </w:tc>
      </w:tr>
      <w:tr w:rsidR="001E359C" w14:paraId="1B57A11C" w14:textId="77777777">
        <w:trPr>
          <w:trHeight w:val="432"/>
        </w:trPr>
        <w:tc>
          <w:tcPr>
            <w:tcW w:w="1076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539255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219E52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C388A8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2D5E58D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178318B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1E359C" w14:paraId="35D1BE1C" w14:textId="77777777">
        <w:trPr>
          <w:trHeight w:val="466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0BCC825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3FB1354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Bui </w:t>
            </w:r>
            <w:proofErr w:type="spellStart"/>
            <w:r>
              <w:rPr>
                <w:rFonts w:ascii="Arial" w:hAnsi="Arial"/>
                <w:sz w:val="20"/>
              </w:rPr>
              <w:t>Khac</w:t>
            </w:r>
            <w:proofErr w:type="spellEnd"/>
            <w:r>
              <w:rPr>
                <w:rFonts w:ascii="Arial" w:hAnsi="Arial"/>
                <w:sz w:val="20"/>
              </w:rPr>
              <w:t xml:space="preserve"> Son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0C5586F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48275E9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29657F4F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59C" w14:paraId="46B7046B" w14:textId="77777777">
        <w:trPr>
          <w:trHeight w:val="470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4A770BC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540C397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Duc Cu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7406934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Vice Chair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3B4DECD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37836499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59C" w14:paraId="15D46686" w14:textId="77777777">
        <w:trPr>
          <w:trHeight w:val="475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7631579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5DFAD43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sz w:val="20"/>
              </w:rPr>
              <w:t>Tho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Phung</w:t>
            </w:r>
            <w:proofErr w:type="spellEnd"/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7AACF69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587D9F5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66563FA4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59C" w14:paraId="2F664043" w14:textId="77777777">
        <w:trPr>
          <w:trHeight w:val="475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106DE46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62DFB5A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Kim </w:t>
            </w:r>
            <w:proofErr w:type="spellStart"/>
            <w:r>
              <w:rPr>
                <w:rFonts w:ascii="Arial" w:hAnsi="Arial"/>
                <w:sz w:val="20"/>
              </w:rPr>
              <w:t>Manh</w:t>
            </w:r>
            <w:proofErr w:type="spellEnd"/>
            <w:r>
              <w:rPr>
                <w:rFonts w:ascii="Arial" w:hAnsi="Arial"/>
                <w:sz w:val="20"/>
              </w:rPr>
              <w:t xml:space="preserve"> Ha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3B47D18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4D3D30E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3F8A157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</w:tr>
      <w:tr w:rsidR="001E359C" w14:paraId="553462AF" w14:textId="77777777">
        <w:trPr>
          <w:trHeight w:val="470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00BC0F8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49AB6E1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Do Thi Hue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50AAC12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41C1740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2021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358BF4A0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59C" w14:paraId="3BB94380" w14:textId="77777777">
        <w:trPr>
          <w:trHeight w:val="480"/>
        </w:trPr>
        <w:tc>
          <w:tcPr>
            <w:tcW w:w="1076" w:type="dxa"/>
            <w:shd w:val="clear" w:color="auto" w:fill="FFFFFF"/>
            <w:tcMar>
              <w:top w:w="0" w:type="dxa"/>
              <w:bottom w:w="0" w:type="dxa"/>
            </w:tcMar>
          </w:tcPr>
          <w:p w14:paraId="55BAB52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bottom w:w="0" w:type="dxa"/>
            </w:tcMar>
          </w:tcPr>
          <w:p w14:paraId="76C39FD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Dinh Thi Thanh Ha</w:t>
            </w:r>
          </w:p>
        </w:tc>
        <w:tc>
          <w:tcPr>
            <w:tcW w:w="3599" w:type="dxa"/>
            <w:shd w:val="clear" w:color="auto" w:fill="FFFFFF"/>
            <w:tcMar>
              <w:top w:w="0" w:type="dxa"/>
              <w:bottom w:w="0" w:type="dxa"/>
            </w:tcMar>
          </w:tcPr>
          <w:p w14:paraId="49D891D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73" w:type="dxa"/>
            <w:shd w:val="clear" w:color="auto" w:fill="FFFFFF"/>
            <w:tcMar>
              <w:top w:w="0" w:type="dxa"/>
              <w:bottom w:w="0" w:type="dxa"/>
            </w:tcMar>
          </w:tcPr>
          <w:p w14:paraId="145FB38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bottom w:w="0" w:type="dxa"/>
            </w:tcMar>
          </w:tcPr>
          <w:p w14:paraId="36782F3F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810D7A" w14:textId="61819144" w:rsidR="001E359C" w:rsidRDefault="000540AD" w:rsidP="007818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Board Resolutions/Board Decisions and General Mandates/Decisions of the </w:t>
      </w:r>
      <w:r w:rsidR="00D82BBD">
        <w:rPr>
          <w:rFonts w:ascii="Arial" w:hAnsi="Arial"/>
          <w:sz w:val="20"/>
        </w:rPr>
        <w:t>General Meeting</w:t>
      </w:r>
    </w:p>
    <w:tbl>
      <w:tblPr>
        <w:tblStyle w:val="a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3205"/>
        <w:gridCol w:w="2184"/>
        <w:gridCol w:w="7663"/>
      </w:tblGrid>
      <w:tr w:rsidR="001E359C" w14:paraId="5C557D85" w14:textId="77777777" w:rsidTr="00AA1DB1">
        <w:trPr>
          <w:trHeight w:val="427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</w:tcPr>
          <w:p w14:paraId="5AEEF56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</w:tcPr>
          <w:p w14:paraId="1C489861" w14:textId="1C7D32AE" w:rsidR="001E359C" w:rsidRDefault="00D82BBD" w:rsidP="00D8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Resolutions/Decisions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</w:tcPr>
          <w:p w14:paraId="280A8AAB" w14:textId="77777777" w:rsidR="001E359C" w:rsidRDefault="000540AD" w:rsidP="00D8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37769C43" w14:textId="43AD1F5B" w:rsidR="001E359C" w:rsidRDefault="000540AD" w:rsidP="00D8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82BBD">
              <w:rPr>
                <w:rFonts w:ascii="Arial" w:hAnsi="Arial"/>
                <w:sz w:val="20"/>
              </w:rPr>
              <w:t>s</w:t>
            </w:r>
          </w:p>
        </w:tc>
      </w:tr>
      <w:tr w:rsidR="001E359C" w14:paraId="704123E2" w14:textId="77777777" w:rsidTr="00AA1DB1">
        <w:trPr>
          <w:trHeight w:val="595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BD469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649B83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01A/2023/NQ/XMC-HDQT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2CFA0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21,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800B5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Transfer of Lexus 570 car to Viet Lao Power Joint Stock Company</w:t>
            </w:r>
          </w:p>
        </w:tc>
      </w:tr>
      <w:tr w:rsidR="001E359C" w14:paraId="4FF5852C" w14:textId="77777777" w:rsidTr="00AA1DB1">
        <w:trPr>
          <w:trHeight w:val="730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0A964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734015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23BDB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22,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433128C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Offsetting debts with </w:t>
            </w:r>
            <w:proofErr w:type="spellStart"/>
            <w:r>
              <w:rPr>
                <w:rFonts w:ascii="Arial" w:hAnsi="Arial"/>
                <w:sz w:val="20"/>
              </w:rPr>
              <w:t>Vinaconex</w:t>
            </w:r>
            <w:proofErr w:type="spellEnd"/>
            <w:r>
              <w:rPr>
                <w:rFonts w:ascii="Arial" w:hAnsi="Arial"/>
                <w:sz w:val="20"/>
              </w:rPr>
              <w:t xml:space="preserve"> Xuan Mai Concrete &amp; Construction JSC</w:t>
            </w:r>
          </w:p>
        </w:tc>
      </w:tr>
      <w:tr w:rsidR="001E359C" w14:paraId="66F2EDF1" w14:textId="77777777" w:rsidTr="00AA1DB1">
        <w:trPr>
          <w:trHeight w:val="590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02DC0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BEBEE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AD46C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23,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478225D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Transfer of shares in Viet Lao Power Joint Stock Company</w:t>
            </w:r>
          </w:p>
        </w:tc>
      </w:tr>
      <w:tr w:rsidR="001E359C" w14:paraId="10F21D85" w14:textId="77777777" w:rsidTr="00AA1DB1">
        <w:trPr>
          <w:trHeight w:val="74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9F16E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3EB2C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5C3BE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07,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3F71EF32" w14:textId="486FEB5E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contents of the Annual </w:t>
            </w:r>
            <w:r w:rsidR="00D82BBD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1E359C" w14:paraId="78E975C5" w14:textId="77777777" w:rsidTr="00AA1DB1">
        <w:trPr>
          <w:trHeight w:val="74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632E5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F4995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AB762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08,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34DF6319" w14:textId="4A8EBDAA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record date to exercise the rights to attend the Annual </w:t>
            </w:r>
            <w:r w:rsidR="00D82BBD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1E359C" w14:paraId="61929C58" w14:textId="77777777" w:rsidTr="00AA1DB1">
        <w:trPr>
          <w:trHeight w:val="590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57EF8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B8D6D6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05/2023/NQ/XMC-DHDCDTN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AAF45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14,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86B907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Business plan for the company's commercial service lots</w:t>
            </w:r>
          </w:p>
        </w:tc>
      </w:tr>
      <w:tr w:rsidR="001E359C" w14:paraId="7788E56F" w14:textId="77777777" w:rsidTr="00AA1DB1">
        <w:trPr>
          <w:trHeight w:val="586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84B7C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E8A548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D8E08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16,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2BA5E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to sell 113 apartments in the Hanoi Paragon Project</w:t>
            </w:r>
          </w:p>
        </w:tc>
      </w:tr>
      <w:tr w:rsidR="001E359C" w14:paraId="4C0F747F" w14:textId="77777777" w:rsidTr="00AA1DB1">
        <w:trPr>
          <w:trHeight w:val="586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D6D50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1B7313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E7728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16,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922832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transfer of the Shophouse purchase contract</w:t>
            </w:r>
          </w:p>
        </w:tc>
      </w:tr>
      <w:tr w:rsidR="001E359C" w14:paraId="4A31A4E6" w14:textId="77777777" w:rsidTr="00AA1DB1">
        <w:trPr>
          <w:trHeight w:val="595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F4FE7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9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CD3A66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A4731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45E0553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  <w:tr w:rsidR="001E359C" w14:paraId="5FF73A18" w14:textId="77777777" w:rsidTr="00AA1DB1">
        <w:trPr>
          <w:trHeight w:val="1752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8FF2C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62AE3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C244A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24,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01D192BE" w14:textId="623162CB" w:rsidR="001E359C" w:rsidRDefault="000540AD" w:rsidP="00D8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Restructure the debt repayment schedule and extending the loan for the investment project to construct a multi-functional complex at 161 Nguyen Chi Thanh </w:t>
            </w:r>
            <w:r w:rsidR="00D82BBD">
              <w:rPr>
                <w:rFonts w:ascii="Arial" w:hAnsi="Arial"/>
                <w:sz w:val="20"/>
              </w:rPr>
              <w:t>Road</w:t>
            </w:r>
            <w:r>
              <w:rPr>
                <w:rFonts w:ascii="Arial" w:hAnsi="Arial"/>
                <w:sz w:val="20"/>
              </w:rPr>
              <w:t xml:space="preserve">, Tan An Ward, </w:t>
            </w:r>
            <w:proofErr w:type="spellStart"/>
            <w:r>
              <w:rPr>
                <w:rFonts w:ascii="Arial" w:hAnsi="Arial"/>
                <w:sz w:val="20"/>
              </w:rPr>
              <w:t>Buon</w:t>
            </w:r>
            <w:proofErr w:type="spellEnd"/>
            <w:r>
              <w:rPr>
                <w:rFonts w:ascii="Arial" w:hAnsi="Arial"/>
                <w:sz w:val="20"/>
              </w:rPr>
              <w:t xml:space="preserve"> Ma </w:t>
            </w:r>
            <w:proofErr w:type="spellStart"/>
            <w:r>
              <w:rPr>
                <w:rFonts w:ascii="Arial" w:hAnsi="Arial"/>
                <w:sz w:val="20"/>
              </w:rPr>
              <w:t>Thuot</w:t>
            </w:r>
            <w:proofErr w:type="spellEnd"/>
            <w:r>
              <w:rPr>
                <w:rFonts w:ascii="Arial" w:hAnsi="Arial"/>
                <w:sz w:val="20"/>
              </w:rPr>
              <w:t xml:space="preserve"> City, Dak Lak Province at Bac A Commercial Joint Stock Bank - Thang Long Branch</w:t>
            </w:r>
          </w:p>
        </w:tc>
      </w:tr>
      <w:tr w:rsidR="001E359C" w14:paraId="53F02343" w14:textId="77777777" w:rsidTr="00AA1DB1">
        <w:trPr>
          <w:trHeight w:val="883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7C97F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DEC92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D6CE2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08,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7CAEAB5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Amendment and supplementation of guarantee commitments for XML at Lien Viet Post Joint Stock Commercial Bank - Hanoi Branch</w:t>
            </w:r>
          </w:p>
        </w:tc>
      </w:tr>
      <w:tr w:rsidR="001E359C" w14:paraId="556D40EF" w14:textId="77777777" w:rsidTr="00AA1DB1">
        <w:trPr>
          <w:trHeight w:val="878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85A88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9EAE5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93FA8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27,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49FEF79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Amendment and supplementation of guarantee commitments for XMB at Lien Viet Post Joint Stock Commercial Bank - Hanoi Branch</w:t>
            </w:r>
          </w:p>
        </w:tc>
      </w:tr>
      <w:tr w:rsidR="001E359C" w14:paraId="43CC96C3" w14:textId="77777777" w:rsidTr="00AA1DB1">
        <w:trPr>
          <w:trHeight w:val="878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60EBF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0482B3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AF567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27,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</w:tcPr>
          <w:p w14:paraId="7095F45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Amendment and supplementation of guarantee commitments for XME at Lien Viet Post Joint Stock Commercial Bank - Hanoi Branch</w:t>
            </w:r>
          </w:p>
        </w:tc>
      </w:tr>
      <w:tr w:rsidR="001E359C" w14:paraId="282C6DC4" w14:textId="77777777" w:rsidTr="00AA1DB1">
        <w:trPr>
          <w:trHeight w:val="590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C07DC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A6D57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585F0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27,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5430BE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at Lien Viet Post Joint Stock Commercial Bank - Hanoi Branch</w:t>
            </w:r>
          </w:p>
        </w:tc>
      </w:tr>
      <w:tr w:rsidR="001E359C" w14:paraId="4649D934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7BD1B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2A422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39EEF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24,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190AD0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Use XMC's assets as collateral for Xuan Mai Construction Joint Stock Company at the Bank for Investment and Development of Vietnam - Ha Dong Branch</w:t>
            </w:r>
          </w:p>
        </w:tc>
      </w:tr>
      <w:tr w:rsidR="001E359C" w14:paraId="00943A26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1E719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CF77AB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2B199D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9828E2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Production and business plan from June 2023 to June 2024</w:t>
            </w:r>
          </w:p>
        </w:tc>
      </w:tr>
      <w:tr w:rsidR="001E359C" w14:paraId="550F066F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877E5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6060AA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D4499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31,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B180F4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implementation of dividend payment plan for 2021 - 2022</w:t>
            </w:r>
          </w:p>
        </w:tc>
      </w:tr>
      <w:tr w:rsidR="001E359C" w14:paraId="1141C0C2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76C2E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1F744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BBA9C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15,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26CC15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Guarantee commitment for Xuan Mai Concrete Limited Company at the Bank for Investment and Development of Vietnam - Ha Dong Branch</w:t>
            </w:r>
          </w:p>
        </w:tc>
      </w:tr>
      <w:tr w:rsidR="001E359C" w14:paraId="2BBBF025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8C950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19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3D795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64017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15,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A99721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Use XMC's assets as collateral for Xuan Mai Concrete Limited Company at the Bank for Investment and Development of Vietnam - Ha Dong Branch</w:t>
            </w:r>
          </w:p>
        </w:tc>
      </w:tr>
      <w:tr w:rsidR="001E359C" w14:paraId="78BA6B47" w14:textId="77777777" w:rsidTr="00AA1DB1">
        <w:trPr>
          <w:trHeight w:val="614"/>
        </w:trPr>
        <w:tc>
          <w:tcPr>
            <w:tcW w:w="89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F88FF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1B7A60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19/2023/NQ/XMC-HDQT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688C2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766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D6279B" w14:textId="2B0BF8C2" w:rsidR="001E359C" w:rsidRDefault="000540AD" w:rsidP="00D8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Provision for </w:t>
            </w:r>
            <w:r w:rsidR="00D82BBD">
              <w:rPr>
                <w:rFonts w:ascii="Arial" w:hAnsi="Arial"/>
                <w:sz w:val="20"/>
              </w:rPr>
              <w:t>doubtful</w:t>
            </w:r>
            <w:r>
              <w:rPr>
                <w:rFonts w:ascii="Arial" w:hAnsi="Arial"/>
                <w:sz w:val="20"/>
              </w:rPr>
              <w:t xml:space="preserve"> debts as of December 31, 2023</w:t>
            </w:r>
          </w:p>
        </w:tc>
      </w:tr>
    </w:tbl>
    <w:p w14:paraId="55E014F3" w14:textId="725B210F" w:rsidR="001E359C" w:rsidRDefault="000540AD" w:rsidP="007818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(Annual Report 2021)</w:t>
      </w:r>
    </w:p>
    <w:p w14:paraId="10909349" w14:textId="5CE4B84D" w:rsidR="001E359C" w:rsidRPr="00AA1DB1" w:rsidRDefault="000540AD" w:rsidP="0078183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</w:t>
      </w:r>
    </w:p>
    <w:tbl>
      <w:tblPr>
        <w:tblStyle w:val="a3"/>
        <w:tblW w:w="13948" w:type="dxa"/>
        <w:tblLayout w:type="fixed"/>
        <w:tblLook w:val="0000" w:firstRow="0" w:lastRow="0" w:firstColumn="0" w:lastColumn="0" w:noHBand="0" w:noVBand="0"/>
      </w:tblPr>
      <w:tblGrid>
        <w:gridCol w:w="761"/>
        <w:gridCol w:w="3799"/>
        <w:gridCol w:w="1903"/>
        <w:gridCol w:w="1710"/>
        <w:gridCol w:w="1730"/>
        <w:gridCol w:w="4045"/>
      </w:tblGrid>
      <w:tr w:rsidR="001E359C" w14:paraId="5CEC3F68" w14:textId="77777777">
        <w:trPr>
          <w:trHeight w:val="130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6F054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2B342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7C026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74DB2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08F1D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 as member of the Supervisory Board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328A3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1E359C" w14:paraId="4DAF04C6" w14:textId="77777777">
        <w:trPr>
          <w:trHeight w:val="64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496F3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3D7E0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Minh Duc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C18D0F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14BE2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D01A77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F940C76" w14:textId="622582BD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540AD">
              <w:rPr>
                <w:rFonts w:ascii="Arial" w:hAnsi="Arial"/>
                <w:sz w:val="20"/>
              </w:rPr>
              <w:t xml:space="preserve"> Accounting; Master of Business Administration</w:t>
            </w:r>
          </w:p>
        </w:tc>
      </w:tr>
      <w:tr w:rsidR="001E359C" w14:paraId="75D8503B" w14:textId="77777777">
        <w:trPr>
          <w:trHeight w:val="32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E570E1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C3C930" w14:textId="263AE0E3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Pham</w:t>
            </w:r>
            <w:r w:rsidR="000540AD">
              <w:rPr>
                <w:rFonts w:ascii="Arial" w:hAnsi="Arial"/>
                <w:sz w:val="20"/>
              </w:rPr>
              <w:t xml:space="preserve"> My </w:t>
            </w:r>
            <w:proofErr w:type="spellStart"/>
            <w:r w:rsidR="000540AD"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0A31E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29EB6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38789B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0778FE7" w14:textId="54D904DC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540AD">
              <w:rPr>
                <w:rFonts w:ascii="Arial" w:hAnsi="Arial"/>
                <w:sz w:val="20"/>
              </w:rPr>
              <w:t xml:space="preserve"> Laws</w:t>
            </w:r>
          </w:p>
        </w:tc>
      </w:tr>
      <w:tr w:rsidR="001E359C" w14:paraId="74F5AE8A" w14:textId="77777777">
        <w:trPr>
          <w:trHeight w:val="9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8AD3E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F12BE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Pham Thi Thanh Huyen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2DF99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CDB47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990BDBB" w14:textId="77777777" w:rsidR="001E359C" w:rsidRDefault="001E359C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0CB5E83" w14:textId="1BA2CAB4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540AD">
              <w:rPr>
                <w:rFonts w:ascii="Arial" w:hAnsi="Arial"/>
                <w:sz w:val="20"/>
              </w:rPr>
              <w:t xml:space="preserve"> Economics, Master of Corporate Finance and Corporate Governance</w:t>
            </w:r>
          </w:p>
        </w:tc>
      </w:tr>
      <w:tr w:rsidR="001E359C" w14:paraId="1A4B3FC6" w14:textId="77777777">
        <w:trPr>
          <w:trHeight w:val="6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35D40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12E52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Luong Anh Tuan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EF061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C9FEF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20, 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473CB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2023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F23E42" w14:textId="7434AAC4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540AD">
              <w:rPr>
                <w:rFonts w:ascii="Arial" w:hAnsi="Arial"/>
                <w:sz w:val="20"/>
              </w:rPr>
              <w:t xml:space="preserve"> Economics, Master of Business Administration</w:t>
            </w:r>
          </w:p>
        </w:tc>
      </w:tr>
    </w:tbl>
    <w:p w14:paraId="53DA4195" w14:textId="1AE4BAA1" w:rsidR="001E359C" w:rsidRDefault="00D82BBD" w:rsidP="007818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a4"/>
        <w:tblW w:w="13948" w:type="dxa"/>
        <w:tblLayout w:type="fixed"/>
        <w:tblLook w:val="0000" w:firstRow="0" w:lastRow="0" w:firstColumn="0" w:lastColumn="0" w:noHBand="0" w:noVBand="0"/>
      </w:tblPr>
      <w:tblGrid>
        <w:gridCol w:w="1223"/>
        <w:gridCol w:w="3817"/>
        <w:gridCol w:w="2517"/>
        <w:gridCol w:w="3526"/>
        <w:gridCol w:w="2865"/>
      </w:tblGrid>
      <w:tr w:rsidR="001E359C" w14:paraId="4EDA22D9" w14:textId="77777777">
        <w:trPr>
          <w:trHeight w:val="6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12C2D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5CAEBB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C2558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58DC4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07C34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1E359C" w14:paraId="0E60C13B" w14:textId="77777777">
        <w:trPr>
          <w:trHeight w:val="35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177CC4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BE58E4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Cao Thang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8FE74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25, 1983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A84C1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Engineer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7BB1C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16, 2020</w:t>
            </w:r>
          </w:p>
        </w:tc>
      </w:tr>
      <w:tr w:rsidR="001E359C" w14:paraId="28719A80" w14:textId="77777777">
        <w:trPr>
          <w:trHeight w:val="65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E1B5B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044F8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Le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Thang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6B83B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19, 1977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5A8307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Civil And Industrial Construction Engineer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57EED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01, 2016</w:t>
            </w:r>
          </w:p>
        </w:tc>
      </w:tr>
      <w:tr w:rsidR="001E359C" w14:paraId="0A524568" w14:textId="77777777">
        <w:trPr>
          <w:trHeight w:val="36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940DA6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808245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Dinh Viet Long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6820C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14, 1976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4BDA0E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Engineer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9D34D8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03, 2023 (*)</w:t>
            </w:r>
          </w:p>
        </w:tc>
      </w:tr>
      <w:tr w:rsidR="001E359C" w14:paraId="58DE9FA8" w14:textId="77777777">
        <w:trPr>
          <w:trHeight w:val="66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3D68F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EFCE4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Duong Anh Tuan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CA374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05, 1982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B6F6B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Civil And Industrial Construction Engineer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2350C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01, 2017</w:t>
            </w:r>
          </w:p>
        </w:tc>
      </w:tr>
      <w:tr w:rsidR="001E359C" w14:paraId="78981D12" w14:textId="77777777">
        <w:trPr>
          <w:trHeight w:val="39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F9FE72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742F1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Hoang Van Phong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406B4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22, 1979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60C41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Mechanical Engineer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5031E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07, 2021</w:t>
            </w:r>
          </w:p>
        </w:tc>
      </w:tr>
      <w:tr w:rsidR="001E359C" w14:paraId="3C3084AE" w14:textId="77777777">
        <w:trPr>
          <w:trHeight w:val="65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A042C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2EED9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Minh Duc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5E7CB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20, 1978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7E3932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Finance, Credit and Monetary Circulation;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90559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04, 2022</w:t>
            </w:r>
          </w:p>
        </w:tc>
      </w:tr>
    </w:tbl>
    <w:p w14:paraId="3B7B7175" w14:textId="3EE220D2" w:rsidR="00AA1DB1" w:rsidRDefault="000540AD" w:rsidP="00781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(*) Mr. Dinh Viet Long No longer holds the position of Deputy </w:t>
      </w:r>
      <w:r w:rsidR="00D82BBD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of the Company effective from March 3, 2023.</w:t>
      </w:r>
    </w:p>
    <w:p w14:paraId="4FC1434A" w14:textId="78E6709F" w:rsidR="001E359C" w:rsidRDefault="000540AD" w:rsidP="007818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Accountant.</w:t>
      </w:r>
    </w:p>
    <w:tbl>
      <w:tblPr>
        <w:tblStyle w:val="a5"/>
        <w:tblW w:w="13948" w:type="dxa"/>
        <w:tblLayout w:type="fixed"/>
        <w:tblLook w:val="0000" w:firstRow="0" w:lastRow="0" w:firstColumn="0" w:lastColumn="0" w:noHBand="0" w:noVBand="0"/>
      </w:tblPr>
      <w:tblGrid>
        <w:gridCol w:w="2848"/>
        <w:gridCol w:w="3501"/>
        <w:gridCol w:w="5303"/>
        <w:gridCol w:w="2296"/>
      </w:tblGrid>
      <w:tr w:rsidR="001E359C" w14:paraId="229A7A6A" w14:textId="77777777">
        <w:trPr>
          <w:trHeight w:val="68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3F413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5412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9075A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D01AA2" w14:textId="14D96CD4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</w:tr>
      <w:tr w:rsidR="001E359C" w14:paraId="6E11112E" w14:textId="77777777">
        <w:trPr>
          <w:trHeight w:val="37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B570BE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 Van Dinh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56F624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03, 1964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D19DF5C" w14:textId="2DB1FE65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0540AD">
              <w:rPr>
                <w:rFonts w:ascii="Arial" w:hAnsi="Arial"/>
                <w:sz w:val="20"/>
              </w:rPr>
              <w:t xml:space="preserve"> Economics </w:t>
            </w:r>
            <w:proofErr w:type="spellStart"/>
            <w:r>
              <w:rPr>
                <w:rFonts w:ascii="Arial" w:hAnsi="Arial"/>
                <w:sz w:val="20"/>
              </w:rPr>
              <w:t>principal</w:t>
            </w:r>
            <w:r w:rsidR="000540AD">
              <w:rPr>
                <w:rFonts w:ascii="Arial" w:hAnsi="Arial"/>
                <w:sz w:val="20"/>
              </w:rPr>
              <w:t>ing</w:t>
            </w:r>
            <w:proofErr w:type="spellEnd"/>
            <w:r w:rsidR="000540AD">
              <w:rPr>
                <w:rFonts w:ascii="Arial" w:hAnsi="Arial"/>
                <w:sz w:val="20"/>
              </w:rPr>
              <w:t xml:space="preserve"> in Accounting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9AB4A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19, 2013</w:t>
            </w:r>
          </w:p>
        </w:tc>
      </w:tr>
    </w:tbl>
    <w:p w14:paraId="6E69EAB7" w14:textId="77777777" w:rsidR="00AA1DB1" w:rsidRDefault="000540AD" w:rsidP="00D82BB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128C3AE6" w14:textId="2B04B91C" w:rsidR="001E359C" w:rsidRPr="00AA1DB1" w:rsidRDefault="000540AD" w:rsidP="00D82BB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transactions between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the Company</w:t>
      </w:r>
    </w:p>
    <w:p w14:paraId="5AF0D162" w14:textId="4299EC6F" w:rsidR="001E359C" w:rsidRDefault="000540AD" w:rsidP="00D8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Company, or between the Company and </w:t>
      </w:r>
      <w:r w:rsidR="00D82BBD">
        <w:rPr>
          <w:rFonts w:ascii="Arial" w:hAnsi="Arial"/>
          <w:sz w:val="20"/>
        </w:rPr>
        <w:t>principal</w:t>
      </w:r>
      <w:r>
        <w:rPr>
          <w:rFonts w:ascii="Arial" w:hAnsi="Arial"/>
          <w:sz w:val="20"/>
        </w:rPr>
        <w:t xml:space="preserve"> shareholders, PDMR, or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 List attached herewith</w:t>
      </w:r>
    </w:p>
    <w:p w14:paraId="639D8C51" w14:textId="4554B212" w:rsidR="001E359C" w:rsidRDefault="000540AD" w:rsidP="00D8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PDMR of the listed company,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listed company: None.</w:t>
      </w:r>
    </w:p>
    <w:p w14:paraId="2E1CF8F6" w14:textId="77777777" w:rsidR="001E359C" w:rsidRDefault="000540AD" w:rsidP="00D82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entities/</w:t>
      </w:r>
    </w:p>
    <w:p w14:paraId="2887C0AC" w14:textId="5D9D8D58" w:rsidR="001E359C" w:rsidRDefault="000540AD" w:rsidP="00D82B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companies where members of the Board of Directors, members of the Supervisory Board, the </w:t>
      </w:r>
      <w:r w:rsidR="00D82BBD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managers have been founding members or members</w:t>
      </w:r>
      <w:r w:rsidR="00D82BBD">
        <w:rPr>
          <w:rFonts w:ascii="Arial" w:hAnsi="Arial"/>
          <w:sz w:val="20"/>
        </w:rPr>
        <w:t xml:space="preserve"> of the Board of Directors or </w:t>
      </w:r>
      <w:r>
        <w:rPr>
          <w:rFonts w:ascii="Arial" w:hAnsi="Arial"/>
          <w:sz w:val="20"/>
        </w:rPr>
        <w:t>Executive Manager for the past three (03) years: List attached herewith</w:t>
      </w:r>
    </w:p>
    <w:p w14:paraId="7AF74F03" w14:textId="7743E96E" w:rsidR="001E359C" w:rsidRDefault="000540AD" w:rsidP="00D82B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Transactions between the Company and companies where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members</w:t>
      </w:r>
      <w:r w:rsidR="00D82BBD">
        <w:rPr>
          <w:rFonts w:ascii="Arial" w:hAnsi="Arial"/>
          <w:sz w:val="20"/>
        </w:rPr>
        <w:t xml:space="preserve"> of the Board of Directors, </w:t>
      </w:r>
      <w:r>
        <w:rPr>
          <w:rFonts w:ascii="Arial" w:hAnsi="Arial"/>
          <w:sz w:val="20"/>
        </w:rPr>
        <w:t xml:space="preserve">members of the Supervisory Board, the </w:t>
      </w:r>
      <w:r w:rsidR="00D82BBD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managers are members </w:t>
      </w:r>
      <w:r w:rsidR="00D82BBD">
        <w:rPr>
          <w:rFonts w:ascii="Arial" w:hAnsi="Arial"/>
          <w:sz w:val="20"/>
        </w:rPr>
        <w:t xml:space="preserve">of the Board of Directors </w:t>
      </w:r>
      <w:proofErr w:type="gramStart"/>
      <w:r w:rsidR="00D82BBD">
        <w:rPr>
          <w:rFonts w:ascii="Arial" w:hAnsi="Arial"/>
          <w:sz w:val="20"/>
        </w:rPr>
        <w:t xml:space="preserve">or </w:t>
      </w:r>
      <w:r>
        <w:rPr>
          <w:rFonts w:ascii="Arial" w:hAnsi="Arial"/>
          <w:sz w:val="20"/>
        </w:rPr>
        <w:t xml:space="preserve"> Executive</w:t>
      </w:r>
      <w:proofErr w:type="gramEnd"/>
      <w:r>
        <w:rPr>
          <w:rFonts w:ascii="Arial" w:hAnsi="Arial"/>
          <w:sz w:val="20"/>
        </w:rPr>
        <w:t xml:space="preserve"> Manager: None.</w:t>
      </w:r>
    </w:p>
    <w:p w14:paraId="7C9F1FB2" w14:textId="73FC88C9" w:rsidR="001E359C" w:rsidRDefault="000540AD" w:rsidP="00D82B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</w:t>
      </w:r>
      <w:r w:rsidR="00D82BBD">
        <w:rPr>
          <w:rFonts w:ascii="Arial" w:hAnsi="Arial"/>
          <w:sz w:val="20"/>
        </w:rPr>
        <w:t xml:space="preserve">s of the Company which can </w:t>
      </w:r>
      <w:proofErr w:type="spellStart"/>
      <w:r w:rsidR="00D82BBD">
        <w:rPr>
          <w:rFonts w:ascii="Arial" w:hAnsi="Arial"/>
          <w:sz w:val="20"/>
        </w:rPr>
        <w:t>brin</w:t>
      </w:r>
      <w:proofErr w:type="spellEnd"/>
      <w:r>
        <w:rPr>
          <w:rFonts w:ascii="Arial" w:hAnsi="Arial"/>
          <w:sz w:val="20"/>
        </w:rPr>
        <w:t xml:space="preserve"> material, non-material benefits to members of the Board of Directors, member</w:t>
      </w:r>
      <w:r w:rsidR="00D82BBD">
        <w:rPr>
          <w:rFonts w:ascii="Arial" w:hAnsi="Arial"/>
          <w:sz w:val="20"/>
        </w:rPr>
        <w:t>s of the Supervisory Board, Managing Director</w:t>
      </w:r>
      <w:r>
        <w:rPr>
          <w:rFonts w:ascii="Arial" w:hAnsi="Arial"/>
          <w:sz w:val="20"/>
        </w:rPr>
        <w:t xml:space="preserve"> and other managers. None.</w:t>
      </w:r>
    </w:p>
    <w:p w14:paraId="7F8FE85F" w14:textId="0350E891" w:rsidR="001E359C" w:rsidRDefault="000540AD" w:rsidP="00D82BB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p w14:paraId="4ED27654" w14:textId="02A81179" w:rsidR="001E359C" w:rsidRDefault="000540AD" w:rsidP="00D82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List attached herewith</w:t>
      </w:r>
    </w:p>
    <w:p w14:paraId="7B124B0E" w14:textId="6276EDBD" w:rsidR="001E359C" w:rsidRDefault="000540AD" w:rsidP="00D82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 of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related to the Company’s shares: List attached herewith</w:t>
      </w:r>
    </w:p>
    <w:p w14:paraId="07D6506D" w14:textId="77777777" w:rsidR="001E359C" w:rsidRDefault="000540AD" w:rsidP="00D82BB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</w:p>
    <w:p w14:paraId="43D80E49" w14:textId="599A7A28" w:rsidR="001E359C" w:rsidRDefault="000540AD" w:rsidP="00D82B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VII.2: Transactions between the Corporation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Corporation; or between the Corporation and </w:t>
      </w:r>
      <w:r w:rsidR="00D82BBD">
        <w:rPr>
          <w:rFonts w:ascii="Arial" w:hAnsi="Arial"/>
          <w:sz w:val="20"/>
        </w:rPr>
        <w:t>principal</w:t>
      </w:r>
      <w:r>
        <w:rPr>
          <w:rFonts w:ascii="Arial" w:hAnsi="Arial"/>
          <w:sz w:val="20"/>
        </w:rPr>
        <w:t xml:space="preserve"> shareholders,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tbl>
      <w:tblPr>
        <w:tblStyle w:val="a6"/>
        <w:tblW w:w="1413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259"/>
        <w:gridCol w:w="656"/>
        <w:gridCol w:w="1133"/>
        <w:gridCol w:w="1254"/>
        <w:gridCol w:w="776"/>
        <w:gridCol w:w="1423"/>
        <w:gridCol w:w="1509"/>
        <w:gridCol w:w="1799"/>
        <w:gridCol w:w="1082"/>
        <w:gridCol w:w="1771"/>
      </w:tblGrid>
      <w:tr w:rsidR="001E359C" w14:paraId="3DC1993D" w14:textId="77777777" w:rsidTr="00D82BBD">
        <w:trPr>
          <w:trHeight w:val="260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A8D23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94B38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organizations/individuals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B873C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Corporation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3E471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 Code*: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15D409" w14:textId="3BACB195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issue (DD.MMM.YYYY)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74657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Place of issue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664EF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office/Contact address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EF47E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A6F07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 No. or Board Resolution/Board Decision No. (if any)</w:t>
            </w:r>
          </w:p>
        </w:tc>
        <w:tc>
          <w:tcPr>
            <w:tcW w:w="10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62F27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content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FBDFB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transaction value</w:t>
            </w:r>
          </w:p>
        </w:tc>
      </w:tr>
      <w:tr w:rsidR="00AA1DB1" w14:paraId="2CA1141E" w14:textId="77777777" w:rsidTr="00D82BBD">
        <w:trPr>
          <w:trHeight w:val="1152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209060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4F9D3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Concrete Limited Company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</w:tcPr>
          <w:p w14:paraId="544E7DB3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392380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0106579919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13DFC8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23, 2014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7CE648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</w:t>
            </w:r>
            <w:r>
              <w:rPr>
                <w:rFonts w:ascii="Arial" w:hAnsi="Arial"/>
                <w:sz w:val="20"/>
              </w:rPr>
              <w:lastRenderedPageBreak/>
              <w:t>g and Investment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9B1DD8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Xuan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Hamlet, Thuy Xuan Tien, </w:t>
            </w:r>
            <w:proofErr w:type="spellStart"/>
            <w:r>
              <w:rPr>
                <w:rFonts w:ascii="Arial" w:hAnsi="Arial"/>
                <w:sz w:val="20"/>
              </w:rPr>
              <w:t>Chuong</w:t>
            </w:r>
            <w:proofErr w:type="spellEnd"/>
            <w:r>
              <w:rPr>
                <w:rFonts w:ascii="Arial" w:hAnsi="Arial"/>
                <w:sz w:val="20"/>
              </w:rPr>
              <w:t xml:space="preserve"> My, </w:t>
            </w:r>
            <w:r>
              <w:rPr>
                <w:rFonts w:ascii="Arial" w:hAnsi="Arial"/>
                <w:sz w:val="20"/>
              </w:rPr>
              <w:lastRenderedPageBreak/>
              <w:t>Hanoi</w:t>
            </w:r>
          </w:p>
        </w:tc>
        <w:tc>
          <w:tcPr>
            <w:tcW w:w="1509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14:paraId="79D49818" w14:textId="18812BF8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First 6 months of 2023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6BDBCC7F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14:paraId="6A412709" w14:textId="7FEB9672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Subcontract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836AB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VND 59,793,950,802 </w:t>
            </w:r>
          </w:p>
        </w:tc>
      </w:tr>
      <w:tr w:rsidR="00AA1DB1" w14:paraId="063BAA27" w14:textId="77777777" w:rsidTr="00D82BBD">
        <w:trPr>
          <w:trHeight w:val="1565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8D9A7E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6C943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Xuan Mai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Limited Company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</w:tcPr>
          <w:p w14:paraId="117EBD8D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3A8D35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3702940137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4812EE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14, 2020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0B04C9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Department of Planning and Investment of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Province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C3621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Land parcel number 639, map sheet number DC15, Rach Bap hamlet, An Tay commune, Ben Cat town,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province</w:t>
            </w:r>
          </w:p>
        </w:tc>
        <w:tc>
          <w:tcPr>
            <w:tcW w:w="1509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32961838" w14:textId="0A55CC09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432BE15A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05711EB4" w14:textId="03DE3D8A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B38D2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VND 43,688,016,216 </w:t>
            </w:r>
          </w:p>
        </w:tc>
      </w:tr>
      <w:tr w:rsidR="00AA1DB1" w14:paraId="04B486DC" w14:textId="77777777" w:rsidTr="00D82BBD">
        <w:trPr>
          <w:trHeight w:val="1042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FB537D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0697E6" w14:textId="2735D6B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- Dao Tu JSC</w:t>
            </w:r>
          </w:p>
        </w:tc>
        <w:tc>
          <w:tcPr>
            <w:tcW w:w="656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FE17B8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Subsidiaries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E0940F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2500302820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9CCF5A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11, 2008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CB899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Department of Planning and Investment of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6AFE50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Be Tong Street, Dao Tu, Tam Duong,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>, Vietnam</w:t>
            </w:r>
          </w:p>
        </w:tc>
        <w:tc>
          <w:tcPr>
            <w:tcW w:w="1509" w:type="dxa"/>
            <w:vMerge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CAB1855" w14:textId="32635C6D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6AD1437A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168DE9" w14:textId="34A825DA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4F27BE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42,996,943,385</w:t>
            </w:r>
          </w:p>
        </w:tc>
      </w:tr>
      <w:tr w:rsidR="00AA1DB1" w14:paraId="6EE49061" w14:textId="77777777" w:rsidTr="00D82BBD">
        <w:trPr>
          <w:trHeight w:val="1032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A64984" w14:textId="6780FA72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4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3B5B25" w14:textId="73D4F1F8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Construction Joint Stock Company</w:t>
            </w:r>
          </w:p>
        </w:tc>
        <w:tc>
          <w:tcPr>
            <w:tcW w:w="656" w:type="dxa"/>
            <w:vMerge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7243F9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A8FABF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0104361561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A84F4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01, 2010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F5FAC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</w:tcPr>
          <w:p w14:paraId="27A1C58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Floor 4, CT2 building, Ngo Thi </w:t>
            </w:r>
            <w:proofErr w:type="spellStart"/>
            <w:r>
              <w:rPr>
                <w:rFonts w:ascii="Arial" w:hAnsi="Arial"/>
                <w:sz w:val="20"/>
              </w:rPr>
              <w:t>Nham</w:t>
            </w:r>
            <w:proofErr w:type="spellEnd"/>
            <w:r>
              <w:rPr>
                <w:rFonts w:ascii="Arial" w:hAnsi="Arial"/>
                <w:sz w:val="20"/>
              </w:rPr>
              <w:t xml:space="preserve">, Ha </w:t>
            </w:r>
            <w:proofErr w:type="spellStart"/>
            <w:r>
              <w:rPr>
                <w:rFonts w:ascii="Arial" w:hAnsi="Arial"/>
                <w:sz w:val="20"/>
              </w:rPr>
              <w:t>Cau</w:t>
            </w:r>
            <w:proofErr w:type="spellEnd"/>
            <w:r>
              <w:rPr>
                <w:rFonts w:ascii="Arial" w:hAnsi="Arial"/>
                <w:sz w:val="20"/>
              </w:rPr>
              <w:t>, Ha Dong, Hanoi</w:t>
            </w:r>
          </w:p>
        </w:tc>
        <w:tc>
          <w:tcPr>
            <w:tcW w:w="1509" w:type="dxa"/>
            <w:vMerge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22EEC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4B2E5CD8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ACB88A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305975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375,349,575,748</w:t>
            </w:r>
          </w:p>
        </w:tc>
      </w:tr>
      <w:tr w:rsidR="00AA1DB1" w14:paraId="0178ABF5" w14:textId="77777777" w:rsidTr="00D82BBD">
        <w:trPr>
          <w:trHeight w:val="1046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83BFE4" w14:textId="0A608029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5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6C669F" w14:textId="642D61A1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Mechanical Transport Joint Stock Company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</w:tcPr>
          <w:p w14:paraId="6BA9C171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6F0A87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0104367524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F3CE4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11, 2010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3CA56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5A30C3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Xuan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Hamlet, Thuy Xuan Tien, </w:t>
            </w:r>
            <w:proofErr w:type="spellStart"/>
            <w:r>
              <w:rPr>
                <w:rFonts w:ascii="Arial" w:hAnsi="Arial"/>
                <w:sz w:val="20"/>
              </w:rPr>
              <w:t>Chuong</w:t>
            </w:r>
            <w:proofErr w:type="spellEnd"/>
            <w:r>
              <w:rPr>
                <w:rFonts w:ascii="Arial" w:hAnsi="Arial"/>
                <w:sz w:val="20"/>
              </w:rPr>
              <w:t xml:space="preserve"> My, Hanoi</w:t>
            </w:r>
          </w:p>
        </w:tc>
        <w:tc>
          <w:tcPr>
            <w:tcW w:w="1509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5B181D47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47280655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6587C70A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EBB48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6,676,652,547</w:t>
            </w:r>
          </w:p>
        </w:tc>
      </w:tr>
      <w:tr w:rsidR="00AA1DB1" w14:paraId="71B2BD0C" w14:textId="77777777" w:rsidTr="00D82BBD">
        <w:trPr>
          <w:trHeight w:val="1565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69897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F658F3" w14:textId="7F8E58E5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Design Consulting Joint Stock Company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</w:tcPr>
          <w:p w14:paraId="22BF3F27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E6874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0102776909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E13711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06, 2008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0A537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305F89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Floor 6, 29T2-No5 building, Southeastern Tran Duy Hung new urban area, </w:t>
            </w:r>
            <w:proofErr w:type="spellStart"/>
            <w:r>
              <w:rPr>
                <w:rFonts w:ascii="Arial" w:hAnsi="Arial"/>
                <w:sz w:val="20"/>
              </w:rPr>
              <w:t>Cau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Giay</w:t>
            </w:r>
            <w:proofErr w:type="spellEnd"/>
            <w:r>
              <w:rPr>
                <w:rFonts w:ascii="Arial" w:hAnsi="Arial"/>
                <w:sz w:val="20"/>
              </w:rPr>
              <w:t>, Hanoi</w:t>
            </w:r>
          </w:p>
        </w:tc>
        <w:tc>
          <w:tcPr>
            <w:tcW w:w="1509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63CDCEE1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</w:tcPr>
          <w:p w14:paraId="69866BD9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64E44310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EDB7D9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4,923,277,826</w:t>
            </w:r>
          </w:p>
        </w:tc>
      </w:tr>
      <w:tr w:rsidR="001E359C" w14:paraId="4DD13882" w14:textId="77777777" w:rsidTr="00D82BBD">
        <w:trPr>
          <w:trHeight w:val="1646"/>
        </w:trPr>
        <w:tc>
          <w:tcPr>
            <w:tcW w:w="4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0B5E8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VND 7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376EB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Viet Lao Power Joint Stock Company</w:t>
            </w:r>
          </w:p>
        </w:tc>
        <w:tc>
          <w:tcPr>
            <w:tcW w:w="65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06DB909" w14:textId="16181E83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</w:t>
            </w:r>
            <w:r w:rsidR="000540AD">
              <w:rPr>
                <w:rFonts w:ascii="Arial" w:hAnsi="Arial"/>
                <w:sz w:val="20"/>
              </w:rPr>
              <w:t xml:space="preserve"> company of PDMR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605CD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0101389382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D79F3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11, 2003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04EB4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5C225B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Floor 9, Block B, HH4 building, Pham Hung road, Me Tri ward, Nam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Liem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Hanoi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2E603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February, 2023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2DB2F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01A/2023/NQ/XMC-HDQT</w:t>
            </w:r>
          </w:p>
        </w:tc>
        <w:tc>
          <w:tcPr>
            <w:tcW w:w="10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375BC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 transfer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CA093C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5,500,000,000</w:t>
            </w:r>
          </w:p>
        </w:tc>
      </w:tr>
    </w:tbl>
    <w:p w14:paraId="6E71BAC6" w14:textId="19AD7F94" w:rsidR="001E359C" w:rsidRDefault="000540AD" w:rsidP="00D82B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VII.4.1: Transactions between the company and companies where members of the Board of Directors, member</w:t>
      </w:r>
      <w:r w:rsidR="00D82BBD">
        <w:rPr>
          <w:rFonts w:ascii="Arial" w:hAnsi="Arial"/>
          <w:sz w:val="20"/>
        </w:rPr>
        <w:t>s of the Supervisory Board, Managing Director</w:t>
      </w:r>
      <w:r>
        <w:rPr>
          <w:rFonts w:ascii="Arial" w:hAnsi="Arial"/>
          <w:sz w:val="20"/>
        </w:rPr>
        <w:t xml:space="preserve"> and other managers have been serving on the member of the Board of Di</w:t>
      </w:r>
      <w:r w:rsidR="00D82BBD">
        <w:rPr>
          <w:rFonts w:ascii="Arial" w:hAnsi="Arial"/>
          <w:sz w:val="20"/>
        </w:rPr>
        <w:t>rectors or as Executive Manager</w:t>
      </w:r>
      <w:r>
        <w:rPr>
          <w:rFonts w:ascii="Arial" w:hAnsi="Arial"/>
          <w:sz w:val="20"/>
        </w:rPr>
        <w:t xml:space="preserve"> in the past three years</w:t>
      </w:r>
    </w:p>
    <w:tbl>
      <w:tblPr>
        <w:tblStyle w:val="a7"/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2385"/>
        <w:gridCol w:w="705"/>
        <w:gridCol w:w="1140"/>
        <w:gridCol w:w="1260"/>
        <w:gridCol w:w="855"/>
        <w:gridCol w:w="1425"/>
        <w:gridCol w:w="1530"/>
        <w:gridCol w:w="1425"/>
        <w:gridCol w:w="1110"/>
        <w:gridCol w:w="1815"/>
      </w:tblGrid>
      <w:tr w:rsidR="001E359C" w14:paraId="1DF9314E" w14:textId="77777777">
        <w:trPr>
          <w:trHeight w:val="950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173F2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DFAE4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organizations/individuals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2E19E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Corporation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A4CEF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 Code*: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CC3E61" w14:textId="1EA2B89B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issue (DD.MMM.YYYY)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81CD0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Place of issue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A4664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 address/Contact address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F59E7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CD3D2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 No. or Board Resolution/Board Decision No. (if any)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B0000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content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FDAD9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transaction value</w:t>
            </w:r>
          </w:p>
        </w:tc>
      </w:tr>
      <w:tr w:rsidR="00AA1DB1" w14:paraId="170141A1" w14:textId="77777777">
        <w:trPr>
          <w:trHeight w:val="1157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E540B1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EFD1D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Concrete Limited Company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</w:tcPr>
          <w:p w14:paraId="1F512129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71DA65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0106579919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D4068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23, 2014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0AEE2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Hanoi Department of Planning and </w:t>
            </w:r>
            <w:r>
              <w:rPr>
                <w:rFonts w:ascii="Arial" w:hAnsi="Arial"/>
                <w:sz w:val="20"/>
              </w:rPr>
              <w:lastRenderedPageBreak/>
              <w:t>Investment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5E9C0B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Xuan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Hamlet, Thuy Xuan Tien, </w:t>
            </w:r>
            <w:proofErr w:type="spellStart"/>
            <w:r>
              <w:rPr>
                <w:rFonts w:ascii="Arial" w:hAnsi="Arial"/>
                <w:sz w:val="20"/>
              </w:rPr>
              <w:t>Chuong</w:t>
            </w:r>
            <w:proofErr w:type="spellEnd"/>
            <w:r>
              <w:rPr>
                <w:rFonts w:ascii="Arial" w:hAnsi="Arial"/>
                <w:sz w:val="20"/>
              </w:rPr>
              <w:t xml:space="preserve"> My, Hanoi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14:paraId="2F9517FB" w14:textId="73DF4EA8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05C5C4B0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14:paraId="0F1758E0" w14:textId="2236805B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Subcontract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B9410D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59,793,950,802</w:t>
            </w:r>
          </w:p>
        </w:tc>
      </w:tr>
      <w:tr w:rsidR="00AA1DB1" w14:paraId="2850E5D3" w14:textId="77777777">
        <w:trPr>
          <w:trHeight w:val="1565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3F6FEB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B5473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Xuan Mai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Limited Company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</w:tcPr>
          <w:p w14:paraId="4779CF57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14059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3702940137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27222F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14, 2020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5744FB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Department of Planning and Investment of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Province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FE3E3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Land parcel number 639, map sheet number DC15, Rach Bap hamlet, An Tay commune, Ben Cat town,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Duong province</w:t>
            </w:r>
          </w:p>
        </w:tc>
        <w:tc>
          <w:tcPr>
            <w:tcW w:w="153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00A535C0" w14:textId="37E55449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5D0BA698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2302F6A1" w14:textId="29E0700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BC428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43,688,016,216</w:t>
            </w:r>
          </w:p>
        </w:tc>
      </w:tr>
      <w:tr w:rsidR="00AA1DB1" w14:paraId="217EC1B9" w14:textId="77777777">
        <w:trPr>
          <w:trHeight w:val="1037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8D8CA5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596A3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- Dao Tu JSC</w:t>
            </w:r>
          </w:p>
        </w:tc>
        <w:tc>
          <w:tcPr>
            <w:tcW w:w="705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04D66E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Subsidiaries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715CFE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2500302820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097B81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11, 2008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D3C7D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Department of Planning and Investment of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 xml:space="preserve"> Province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A5B9D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Be Tong Street, Dao Tu, Tam Duong,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  <w:r>
              <w:rPr>
                <w:rFonts w:ascii="Arial" w:hAnsi="Arial"/>
                <w:sz w:val="20"/>
              </w:rPr>
              <w:t>, Vietnam</w:t>
            </w:r>
          </w:p>
        </w:tc>
        <w:tc>
          <w:tcPr>
            <w:tcW w:w="1530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D6BB20" w14:textId="2728412F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61D5B4E8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8A12E7" w14:textId="2FA2C04B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0413F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42,996,943,385</w:t>
            </w:r>
          </w:p>
        </w:tc>
      </w:tr>
      <w:tr w:rsidR="00AA1DB1" w14:paraId="09EF33ED" w14:textId="77777777">
        <w:trPr>
          <w:trHeight w:val="1037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DAABB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F9D588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Construction Joint Stock Company</w:t>
            </w:r>
          </w:p>
        </w:tc>
        <w:tc>
          <w:tcPr>
            <w:tcW w:w="705" w:type="dxa"/>
            <w:vMerge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481A4A3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95E01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0104361561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C21117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01, 2010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16978A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Hanoi Department of </w:t>
            </w:r>
            <w:r>
              <w:rPr>
                <w:rFonts w:ascii="Arial" w:hAnsi="Arial"/>
                <w:sz w:val="20"/>
              </w:rPr>
              <w:lastRenderedPageBreak/>
              <w:t>Planning and Investment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9C0707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Floor 4, CT2 building, Ngo Thi </w:t>
            </w:r>
            <w:proofErr w:type="spellStart"/>
            <w:r>
              <w:rPr>
                <w:rFonts w:ascii="Arial" w:hAnsi="Arial"/>
                <w:sz w:val="20"/>
              </w:rPr>
              <w:t>Nham</w:t>
            </w:r>
            <w:proofErr w:type="spellEnd"/>
            <w:r>
              <w:rPr>
                <w:rFonts w:ascii="Arial" w:hAnsi="Arial"/>
                <w:sz w:val="20"/>
              </w:rPr>
              <w:t xml:space="preserve">, Ha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Cau</w:t>
            </w:r>
            <w:proofErr w:type="spellEnd"/>
            <w:r>
              <w:rPr>
                <w:rFonts w:ascii="Arial" w:hAnsi="Arial"/>
                <w:sz w:val="20"/>
              </w:rPr>
              <w:t>, Ha Dong, Hanoi</w:t>
            </w:r>
          </w:p>
        </w:tc>
        <w:tc>
          <w:tcPr>
            <w:tcW w:w="1530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A724ED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75406B91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6B80DA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3B09AF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375,349,575,748</w:t>
            </w:r>
          </w:p>
        </w:tc>
      </w:tr>
      <w:tr w:rsidR="00AA1DB1" w14:paraId="099B6FB4" w14:textId="77777777">
        <w:trPr>
          <w:trHeight w:val="1042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A7CB2A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1E32ED" w14:textId="7FA36505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Mechanical Transport Joint Stock Company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</w:tcPr>
          <w:p w14:paraId="1F946E8A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615FB4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0104367524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A13F60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11, 2010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092E8C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A4BA78B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Xuan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  <w:r>
              <w:rPr>
                <w:rFonts w:ascii="Arial" w:hAnsi="Arial"/>
                <w:sz w:val="20"/>
              </w:rPr>
              <w:t xml:space="preserve"> Hamlet, Thuy Xuan Tien, </w:t>
            </w:r>
            <w:proofErr w:type="spellStart"/>
            <w:r>
              <w:rPr>
                <w:rFonts w:ascii="Arial" w:hAnsi="Arial"/>
                <w:sz w:val="20"/>
              </w:rPr>
              <w:t>Chuong</w:t>
            </w:r>
            <w:proofErr w:type="spellEnd"/>
            <w:r>
              <w:rPr>
                <w:rFonts w:ascii="Arial" w:hAnsi="Arial"/>
                <w:sz w:val="20"/>
              </w:rPr>
              <w:t xml:space="preserve"> My, Hanoi</w:t>
            </w:r>
          </w:p>
        </w:tc>
        <w:tc>
          <w:tcPr>
            <w:tcW w:w="153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236774E9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52FCDA52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49506729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9274E6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6,676,652,547</w:t>
            </w:r>
          </w:p>
        </w:tc>
      </w:tr>
      <w:tr w:rsidR="00AA1DB1" w14:paraId="1E94F7E1" w14:textId="77777777">
        <w:trPr>
          <w:trHeight w:val="1565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18FF3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849F29" w14:textId="2B28B86E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Xuan Mai Design Consulting Joint Stock Company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</w:tcPr>
          <w:p w14:paraId="63DAD91C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C7F2B1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0102776909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B6633D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06, 2008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0A0D6E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Investment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B1E882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Floor 6, 29T2-No5 building, Southeastern Tran Duy Hung new urban area, </w:t>
            </w:r>
            <w:proofErr w:type="spellStart"/>
            <w:r>
              <w:rPr>
                <w:rFonts w:ascii="Arial" w:hAnsi="Arial"/>
                <w:sz w:val="20"/>
              </w:rPr>
              <w:t>Cau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Giay</w:t>
            </w:r>
            <w:proofErr w:type="spellEnd"/>
            <w:r>
              <w:rPr>
                <w:rFonts w:ascii="Arial" w:hAnsi="Arial"/>
                <w:sz w:val="20"/>
              </w:rPr>
              <w:t>, Hanoi</w:t>
            </w:r>
          </w:p>
        </w:tc>
        <w:tc>
          <w:tcPr>
            <w:tcW w:w="153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2231C23B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</w:tcPr>
          <w:p w14:paraId="69F526C6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bottom w:w="0" w:type="dxa"/>
            </w:tcMar>
          </w:tcPr>
          <w:p w14:paraId="7CDD75DC" w14:textId="77777777" w:rsidR="00AA1DB1" w:rsidRDefault="00AA1DB1" w:rsidP="00781834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FF6365" w14:textId="77777777" w:rsidR="00AA1DB1" w:rsidRDefault="00AA1DB1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VND 4,923,277,826 </w:t>
            </w:r>
          </w:p>
        </w:tc>
      </w:tr>
      <w:tr w:rsidR="001E359C" w14:paraId="2568109E" w14:textId="77777777">
        <w:trPr>
          <w:trHeight w:val="1651"/>
        </w:trPr>
        <w:tc>
          <w:tcPr>
            <w:tcW w:w="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F6329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7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FF285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Viet Lao Power Joint Stock Company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B5BA421" w14:textId="4BF7A78B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</w:t>
            </w:r>
            <w:r w:rsidR="000540AD">
              <w:rPr>
                <w:rFonts w:ascii="Arial" w:hAnsi="Arial"/>
                <w:sz w:val="20"/>
              </w:rPr>
              <w:t xml:space="preserve"> company of PDMR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B4727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0101389382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98D97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11, 2003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DC4D1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 Department of Planning and Investme</w:t>
            </w:r>
            <w:r>
              <w:rPr>
                <w:rFonts w:ascii="Arial" w:hAnsi="Arial"/>
                <w:sz w:val="20"/>
              </w:rPr>
              <w:lastRenderedPageBreak/>
              <w:t>nt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86BD6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Floor 9, Block B, HH4 building, Pham Hung road, Me Tri ward, Nam </w:t>
            </w:r>
            <w:proofErr w:type="spellStart"/>
            <w:r>
              <w:rPr>
                <w:rFonts w:ascii="Arial" w:hAnsi="Arial"/>
                <w:sz w:val="20"/>
              </w:rPr>
              <w:t>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Liem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>district, Hanoi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1C116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February, 2023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D443E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01A/2023/NQ/X</w:t>
            </w:r>
          </w:p>
          <w:p w14:paraId="3F3DEA8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MC-HDQT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5C2A2B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 transfer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CA92A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5,500,000,000</w:t>
            </w:r>
          </w:p>
        </w:tc>
      </w:tr>
    </w:tbl>
    <w:p w14:paraId="037CACC5" w14:textId="0E428340" w:rsidR="001E359C" w:rsidRDefault="000540AD" w:rsidP="00781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VIII. Share transactions of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p w14:paraId="60FCBC62" w14:textId="4A6FB6C7" w:rsidR="001E359C" w:rsidRDefault="000540AD" w:rsidP="007818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VIII.2: Listing company’s share transactions of PDMR and </w:t>
      </w:r>
      <w:r w:rsidR="00D82BBD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78"/>
        <w:gridCol w:w="2544"/>
        <w:gridCol w:w="3013"/>
        <w:gridCol w:w="1297"/>
        <w:gridCol w:w="1149"/>
        <w:gridCol w:w="1306"/>
        <w:gridCol w:w="1322"/>
        <w:gridCol w:w="2739"/>
      </w:tblGrid>
      <w:tr w:rsidR="001E359C" w14:paraId="3F1CE088" w14:textId="77777777" w:rsidTr="00AA1DB1">
        <w:trPr>
          <w:trHeight w:val="60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D3EBF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115AC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conductor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D510B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PMDR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EDFBD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beginning of the period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423574" w14:textId="3F8A45C0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end of the period (December 31, 2023)</w:t>
            </w:r>
          </w:p>
        </w:tc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099EC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increase/decrease</w:t>
            </w:r>
          </w:p>
        </w:tc>
      </w:tr>
      <w:tr w:rsidR="001E359C" w14:paraId="7AA79C8D" w14:textId="77777777" w:rsidTr="00AA1DB1">
        <w:trPr>
          <w:trHeight w:val="552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DE89A3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530FF3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97C008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AEDC2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41B26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66875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61FD19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9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379DA6" w14:textId="77777777" w:rsidR="001E359C" w:rsidRDefault="001E359C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359C" w14:paraId="61ED6FB7" w14:textId="77777777" w:rsidTr="00AA1DB1">
        <w:trPr>
          <w:trHeight w:val="55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2DD6B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93104E" w14:textId="541C836C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</w:t>
            </w:r>
            <w:r w:rsidR="000540AD">
              <w:rPr>
                <w:rFonts w:ascii="Arial" w:hAnsi="Arial"/>
                <w:sz w:val="20"/>
              </w:rPr>
              <w:t>hai</w:t>
            </w:r>
            <w:proofErr w:type="spellEnd"/>
            <w:r w:rsidR="000540AD">
              <w:rPr>
                <w:rFonts w:ascii="Arial" w:hAnsi="Arial"/>
                <w:sz w:val="20"/>
              </w:rPr>
              <w:t xml:space="preserve"> Hung Company Limited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CE57AC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organization of PDMR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A3A9E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13,478,174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BA416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20.01%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6B4277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13,478,174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E19E5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0.00%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84DBB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Transfer shares</w:t>
            </w:r>
          </w:p>
        </w:tc>
      </w:tr>
      <w:tr w:rsidR="001E359C" w14:paraId="069BC213" w14:textId="77777777" w:rsidTr="00AA1DB1">
        <w:trPr>
          <w:trHeight w:val="56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E3ABE6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46906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Minh Trang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1E0D4B" w14:textId="04A146DB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</w:t>
            </w:r>
            <w:r w:rsidR="000540AD">
              <w:rPr>
                <w:rFonts w:ascii="Arial" w:hAnsi="Arial"/>
                <w:sz w:val="20"/>
              </w:rPr>
              <w:t xml:space="preserve"> person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F0BC4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3,300,936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74CFC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4.90%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54F90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16,779,110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E1C68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24.91%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88F13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transfer of shares</w:t>
            </w:r>
          </w:p>
        </w:tc>
      </w:tr>
      <w:tr w:rsidR="001E359C" w14:paraId="2050605A" w14:textId="77777777" w:rsidTr="00AA1DB1">
        <w:trPr>
          <w:trHeight w:val="5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71119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BDB58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Cao Thang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E937A3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PDMR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0821EA" w14:textId="0253442D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77,</w:t>
            </w:r>
            <w:bookmarkStart w:id="0" w:name="_GoBack"/>
            <w:bookmarkEnd w:id="0"/>
            <w:r w:rsidR="000540AD">
              <w:rPr>
                <w:rFonts w:ascii="Arial" w:hAnsi="Arial"/>
                <w:sz w:val="20"/>
              </w:rPr>
              <w:t>000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09BC3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0.12%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874CC6" w14:textId="7BCDE10A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109,</w:t>
            </w:r>
            <w:r w:rsidR="000540AD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9925E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0.17%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4F111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transfer of shares</w:t>
            </w:r>
          </w:p>
        </w:tc>
      </w:tr>
      <w:tr w:rsidR="001E359C" w14:paraId="014A289B" w14:textId="77777777" w:rsidTr="00AA1DB1">
        <w:trPr>
          <w:trHeight w:val="5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8D15DE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8CAFD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Lai Thi </w:t>
            </w:r>
            <w:proofErr w:type="spellStart"/>
            <w:r>
              <w:rPr>
                <w:rFonts w:ascii="Arial" w:hAnsi="Arial"/>
                <w:sz w:val="20"/>
              </w:rPr>
              <w:t>Lua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422B1D" w14:textId="27DD4660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</w:t>
            </w:r>
            <w:r w:rsidR="000540AD">
              <w:rPr>
                <w:rFonts w:ascii="Arial" w:hAnsi="Arial"/>
                <w:sz w:val="20"/>
              </w:rPr>
              <w:t xml:space="preserve"> person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7CBBD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4026AA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0.0001%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181AA0" w14:textId="3E6E4919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4,</w:t>
            </w:r>
            <w:r w:rsidR="000540AD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C26848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0.01%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276B40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transfer of shares</w:t>
            </w:r>
          </w:p>
        </w:tc>
      </w:tr>
      <w:tr w:rsidR="001E359C" w14:paraId="0C695650" w14:textId="77777777" w:rsidTr="00AA1DB1">
        <w:trPr>
          <w:trHeight w:val="58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04782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836D8D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Phan My Hanh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0EB4B2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PDMR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36D334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5130C1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0,001%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C8452A" w14:textId="5612D523" w:rsidR="001E359C" w:rsidRDefault="00D82BB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16,</w:t>
            </w:r>
            <w:r w:rsidR="000540AD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122935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0.02%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C3C4FF" w14:textId="77777777" w:rsidR="001E359C" w:rsidRDefault="000540AD" w:rsidP="0078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transfer of shares</w:t>
            </w:r>
          </w:p>
        </w:tc>
      </w:tr>
    </w:tbl>
    <w:p w14:paraId="4020EF37" w14:textId="77777777" w:rsidR="001E359C" w:rsidRDefault="001E359C" w:rsidP="00781834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1E359C">
      <w:pgSz w:w="16838" w:h="11906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4AE"/>
    <w:multiLevelType w:val="multilevel"/>
    <w:tmpl w:val="D73A5BB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0D5F5A"/>
    <w:multiLevelType w:val="hybridMultilevel"/>
    <w:tmpl w:val="AAFC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4435"/>
    <w:multiLevelType w:val="hybridMultilevel"/>
    <w:tmpl w:val="2F1833EC"/>
    <w:lvl w:ilvl="0" w:tplc="A5C0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26E7"/>
    <w:multiLevelType w:val="multilevel"/>
    <w:tmpl w:val="FF5ACF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02602B"/>
    <w:multiLevelType w:val="hybridMultilevel"/>
    <w:tmpl w:val="9E68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22D0A"/>
    <w:multiLevelType w:val="multilevel"/>
    <w:tmpl w:val="DE1EA3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C32176"/>
    <w:multiLevelType w:val="multilevel"/>
    <w:tmpl w:val="9EB874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C"/>
    <w:rsid w:val="000540AD"/>
    <w:rsid w:val="001E359C"/>
    <w:rsid w:val="005A544F"/>
    <w:rsid w:val="00781834"/>
    <w:rsid w:val="00975230"/>
    <w:rsid w:val="009E22E4"/>
    <w:rsid w:val="00AA1DB1"/>
    <w:rsid w:val="00D40C65"/>
    <w:rsid w:val="00D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8620"/>
  <w15:docId w15:val="{2BC53C45-F149-4A88-BDCE-06AE703F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F5303C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90" w:lineRule="auto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i/>
      <w:iCs/>
      <w:color w:val="F5303C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276" w:lineRule="auto"/>
      <w:ind w:left="160" w:firstLine="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rsid w:val="003D6C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A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xuanmaicorp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SgJaSUGRwmElyP0Z86IigSF1A==">CgMxLjA4AHIhMTJTZm82R0dpSkxRM1d0TW9RZ0htV1JCMzBKQ2x6T0ds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Duc Quan</cp:lastModifiedBy>
  <cp:revision>2</cp:revision>
  <dcterms:created xsi:type="dcterms:W3CDTF">2024-02-18T06:54:00Z</dcterms:created>
  <dcterms:modified xsi:type="dcterms:W3CDTF">2024-02-18T06:54:00Z</dcterms:modified>
</cp:coreProperties>
</file>