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C6E8" w14:textId="77777777" w:rsidR="00270FA6" w:rsidRPr="001370D1" w:rsidRDefault="00000000" w:rsidP="00F20A86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TJC: Annual Corporate Governance Report 2023</w:t>
      </w:r>
    </w:p>
    <w:p w14:paraId="26E3842E" w14:textId="77777777" w:rsidR="00270FA6" w:rsidRPr="001370D1" w:rsidRDefault="00000000" w:rsidP="00F20A86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26, 2024, Transportation and Trading Services Joint Stock Company announced Report No. 18/KT on the corporate governance in 2023 as follows:</w:t>
      </w:r>
    </w:p>
    <w:p w14:paraId="0152A0A5" w14:textId="77777777" w:rsidR="00270FA6" w:rsidRPr="001370D1" w:rsidRDefault="00000000" w:rsidP="00F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public company: Transportation and Trading Services Joint Stock Company</w:t>
      </w:r>
    </w:p>
    <w:p w14:paraId="59E99BCD" w14:textId="77777777" w:rsidR="00270FA6" w:rsidRPr="001370D1" w:rsidRDefault="00000000" w:rsidP="00F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Room 427 - 430 Thanh Dat 1 Building, 03 Le Thanh Tong, May </w:t>
      </w:r>
      <w:proofErr w:type="gramStart"/>
      <w:r>
        <w:rPr>
          <w:rFonts w:ascii="Arial" w:hAnsi="Arial"/>
          <w:color w:val="010000"/>
          <w:sz w:val="20"/>
        </w:rPr>
        <w:t>To</w:t>
      </w:r>
      <w:proofErr w:type="gramEnd"/>
      <w:r>
        <w:rPr>
          <w:rFonts w:ascii="Arial" w:hAnsi="Arial"/>
          <w:color w:val="010000"/>
          <w:sz w:val="20"/>
        </w:rPr>
        <w:t xml:space="preserve"> Ward, Ngo Quyen District, Hai Phong City</w:t>
      </w:r>
    </w:p>
    <w:p w14:paraId="720AFAB6" w14:textId="77777777" w:rsidR="00270FA6" w:rsidRPr="001370D1" w:rsidRDefault="00000000" w:rsidP="00F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86,000,000,000.</w:t>
      </w:r>
    </w:p>
    <w:p w14:paraId="2A410B5C" w14:textId="77777777" w:rsidR="00270FA6" w:rsidRPr="001370D1" w:rsidRDefault="00000000" w:rsidP="00F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TJC</w:t>
      </w:r>
    </w:p>
    <w:p w14:paraId="1C5D89FD" w14:textId="77777777" w:rsidR="00270FA6" w:rsidRPr="001370D1" w:rsidRDefault="00000000" w:rsidP="00F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Board, Manager.</w:t>
      </w:r>
    </w:p>
    <w:p w14:paraId="4B835FEA" w14:textId="77777777" w:rsidR="00270FA6" w:rsidRPr="001370D1" w:rsidRDefault="00000000" w:rsidP="00F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Unimplemented</w:t>
      </w:r>
    </w:p>
    <w:p w14:paraId="0A0365E8" w14:textId="77777777" w:rsidR="00270FA6" w:rsidRPr="001370D1" w:rsidRDefault="00000000" w:rsidP="00F20A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3"/>
        <w:gridCol w:w="2262"/>
        <w:gridCol w:w="1611"/>
        <w:gridCol w:w="4423"/>
      </w:tblGrid>
      <w:tr w:rsidR="00270FA6" w:rsidRPr="001370D1" w14:paraId="6F5A4ED0" w14:textId="77777777" w:rsidTr="001370D1">
        <w:trPr>
          <w:cantSplit/>
        </w:trPr>
        <w:tc>
          <w:tcPr>
            <w:tcW w:w="401" w:type="pct"/>
            <w:shd w:val="clear" w:color="auto" w:fill="auto"/>
            <w:vAlign w:val="center"/>
          </w:tcPr>
          <w:p w14:paraId="3F693D36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435E28D8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E51B359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6F5A1EBE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270FA6" w:rsidRPr="001370D1" w14:paraId="4778336F" w14:textId="77777777" w:rsidTr="001370D1">
        <w:trPr>
          <w:cantSplit/>
        </w:trPr>
        <w:tc>
          <w:tcPr>
            <w:tcW w:w="401" w:type="pct"/>
            <w:shd w:val="clear" w:color="auto" w:fill="auto"/>
            <w:vAlign w:val="center"/>
          </w:tcPr>
          <w:p w14:paraId="768E8210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4208D6F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DEAB45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1C5D6F01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270FA6" w:rsidRPr="001370D1" w14:paraId="3CD45BD1" w14:textId="77777777" w:rsidTr="001370D1">
        <w:trPr>
          <w:cantSplit/>
        </w:trPr>
        <w:tc>
          <w:tcPr>
            <w:tcW w:w="401" w:type="pct"/>
            <w:shd w:val="clear" w:color="auto" w:fill="auto"/>
            <w:vAlign w:val="center"/>
          </w:tcPr>
          <w:p w14:paraId="6959FA65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3BE7E310" w14:textId="14F94BEC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  <w:r w:rsidR="004C29E3">
              <w:rPr>
                <w:rFonts w:ascii="Arial" w:hAnsi="Arial"/>
                <w:color w:val="010000"/>
                <w:sz w:val="20"/>
                <w:lang w:val="vi-VN"/>
              </w:rPr>
              <w:t>1</w:t>
            </w:r>
            <w:r>
              <w:rPr>
                <w:rFonts w:ascii="Arial" w:hAnsi="Arial"/>
                <w:color w:val="010000"/>
                <w:sz w:val="20"/>
              </w:rPr>
              <w:t>/2023/NQ-DHDCD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9FEA5A4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2023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492573B2" w14:textId="77777777" w:rsidR="00270FA6" w:rsidRPr="001370D1" w:rsidRDefault="00000000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39D326D6" w14:textId="77777777" w:rsidR="00270FA6" w:rsidRPr="001370D1" w:rsidRDefault="00000000" w:rsidP="00B957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7485A546" w14:textId="77777777" w:rsidR="00270FA6" w:rsidRPr="001370D1" w:rsidRDefault="00000000" w:rsidP="00B957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05"/>
        <w:gridCol w:w="2323"/>
        <w:gridCol w:w="1622"/>
        <w:gridCol w:w="2110"/>
        <w:gridCol w:w="2459"/>
      </w:tblGrid>
      <w:tr w:rsidR="00270FA6" w:rsidRPr="001370D1" w14:paraId="48C3AC81" w14:textId="77777777" w:rsidTr="001370D1">
        <w:trPr>
          <w:cantSplit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25DD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72B9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F3C6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E313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270FA6" w:rsidRPr="001370D1" w14:paraId="24E45C62" w14:textId="77777777" w:rsidTr="001370D1">
        <w:trPr>
          <w:cantSplit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DA54F" w14:textId="77777777" w:rsidR="00270FA6" w:rsidRPr="001370D1" w:rsidRDefault="00270FA6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B9660" w14:textId="77777777" w:rsidR="00270FA6" w:rsidRPr="001370D1" w:rsidRDefault="00270FA6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4B013" w14:textId="77777777" w:rsidR="00270FA6" w:rsidRPr="001370D1" w:rsidRDefault="00270FA6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3A28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E851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270FA6" w:rsidRPr="001370D1" w14:paraId="27C17C44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8E8B3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417B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Bao Trung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5E2E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00C56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2022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6225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270FA6" w:rsidRPr="001370D1" w14:paraId="2FEBE37C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909CE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9FA2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Phuc Tung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E8D9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01E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57E51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0FA6" w:rsidRPr="001370D1" w14:paraId="47AF1C4D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2E1C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BEE4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Tuan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FE31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8D5E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20CB9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0FA6" w:rsidRPr="001370D1" w14:paraId="3CB9C09E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DA2F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2CF2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Vuong Ngoc Son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0EB3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BBE9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2000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AC5F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270FA6" w:rsidRPr="001370D1" w14:paraId="71AAA778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F3B1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B15C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Tat Hung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F827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D870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2000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198AB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0FA6" w:rsidRPr="001370D1" w14:paraId="30CCE262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78E2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4FC7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Anh Thu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6C8C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09EA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36740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0FA6" w:rsidRPr="001370D1" w14:paraId="71694377" w14:textId="77777777" w:rsidTr="001370D1">
        <w:trPr>
          <w:cantSplit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5A52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E14C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 Manh Cuong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ED11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7E97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2022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48E71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E4E11D5" w14:textId="6668CAD2" w:rsidR="00270FA6" w:rsidRPr="001370D1" w:rsidRDefault="00000000" w:rsidP="00B957A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1"/>
        <w:gridCol w:w="1558"/>
        <w:gridCol w:w="1021"/>
        <w:gridCol w:w="5929"/>
      </w:tblGrid>
      <w:tr w:rsidR="00270FA6" w:rsidRPr="001370D1" w14:paraId="644C242E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EFDE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F8BE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779A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3003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270FA6" w:rsidRPr="001370D1" w14:paraId="45F159FB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4EF9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98AB8" w14:textId="79A84AEE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B742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40F06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Nguyen Bao Trung from the position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of  the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Chair of the Board of Directors.  Elect Mr. Ta Manh Cuong as the Chair of the Board of Directors for the remaining period of 2018-2023 </w:t>
            </w:r>
          </w:p>
        </w:tc>
      </w:tr>
      <w:tr w:rsidR="00270FA6" w:rsidRPr="001370D1" w14:paraId="47E17B39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5D55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543D0" w14:textId="2BCC0A6D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7760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7C0F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Summarize the business activities in the first 2 months of 2023; preparations to organize the General Meeting of Shareholders for the 2023-2028 period</w:t>
            </w:r>
          </w:p>
        </w:tc>
      </w:tr>
      <w:tr w:rsidR="00270FA6" w:rsidRPr="001370D1" w14:paraId="1D344EB7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110D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03830" w14:textId="41879E10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85DB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0B60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Introduce and reappoint Mr. Le Tat Hung as the Manager of Transco Company for the 2023-2028 period </w:t>
            </w:r>
          </w:p>
        </w:tc>
      </w:tr>
      <w:tr w:rsidR="00270FA6" w:rsidRPr="001370D1" w14:paraId="70E1A8CF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C74F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0AB5C" w14:textId="2AA04D05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AAAB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4BEA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positions: Chair of the Board of Directors, Vice Chair of the Board of Directors; Appointment of positions: Manager, Chief Accountant and Person in charge of Corporate Governance for the 2023-2028 period</w:t>
            </w:r>
          </w:p>
        </w:tc>
      </w:tr>
      <w:tr w:rsidR="00270FA6" w:rsidRPr="001370D1" w14:paraId="092B2E81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5FF3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DC99D" w14:textId="346B8C45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C489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9269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members of the Board of Directors’ s opinions on approving the resignation application of Mr. Tran Trong Tam - Deputy Manager of the Company</w:t>
            </w:r>
          </w:p>
        </w:tc>
      </w:tr>
      <w:tr w:rsidR="00270FA6" w:rsidRPr="001370D1" w14:paraId="63038BD8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3B9B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7A94C" w14:textId="1981DE64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694F6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D7EB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members of the Board of Directors’ s opinions on approving the resignation application of Mr. Nguyen Tuan Anh - Deputy Manager of the Company</w:t>
            </w:r>
          </w:p>
        </w:tc>
      </w:tr>
      <w:tr w:rsidR="00270FA6" w:rsidRPr="001370D1" w14:paraId="4DD767AE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8DB5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3C52A" w14:textId="1DC626D5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FC25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13,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E39A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Summarize the business activities in the first 6 months of 2023; Deploy the plan for the QIII/2023; Approve the company's 6th floor interior project; dismiss and appoint the position of governance cum company secretary; Discuss and agree on other contents related to the Company's operations under the authority of the Board of Directors.</w:t>
            </w:r>
          </w:p>
        </w:tc>
      </w:tr>
      <w:tr w:rsidR="00270FA6" w:rsidRPr="001370D1" w14:paraId="6BA6EEEC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16323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52941" w14:textId="21923B8A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C7FE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379D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members of the Board of Directors’ opinions on holding an Extraordinary General Meeting of Shareholders on the sale of the Transco Glory ship</w:t>
            </w:r>
          </w:p>
        </w:tc>
      </w:tr>
      <w:tr w:rsidR="00270FA6" w:rsidRPr="001370D1" w14:paraId="27412B8E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8B33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F4885" w14:textId="42FDEBD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E21E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7AA6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members of the Board of Directors’ opinions on the request for the approval to upgrade the elevator doors of the Office Building</w:t>
            </w:r>
          </w:p>
        </w:tc>
      </w:tr>
      <w:tr w:rsidR="00270FA6" w:rsidRPr="001370D1" w14:paraId="45DE7DC8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09CE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06493" w14:textId="11A7C8EF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F0B4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0A59E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Summarize the business activities in the first 9 months of 2023; Implement the plan for Q4/2023</w:t>
            </w:r>
          </w:p>
        </w:tc>
      </w:tr>
      <w:tr w:rsidR="00270FA6" w:rsidRPr="001370D1" w14:paraId="10A368A2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C444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399AE" w14:textId="25241B95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B6BC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24,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44C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members of the Board of Directors’ opinions on approving the policy of selling Transco Glory ships</w:t>
            </w:r>
          </w:p>
        </w:tc>
      </w:tr>
      <w:tr w:rsidR="00270FA6" w:rsidRPr="001370D1" w14:paraId="541B5796" w14:textId="77777777" w:rsidTr="001370D1">
        <w:trPr>
          <w:cantSplit/>
        </w:trPr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1C193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C237B" w14:textId="24181CFA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12/2023-BBH-H</w:t>
            </w:r>
            <w:r w:rsidR="004C29E3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A01E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2023</w:t>
            </w:r>
          </w:p>
        </w:tc>
        <w:tc>
          <w:tcPr>
            <w:tcW w:w="3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8853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members of the Board of Directors’ opinions on approving the project of selling Transco Glory ships</w:t>
            </w:r>
          </w:p>
        </w:tc>
      </w:tr>
    </w:tbl>
    <w:p w14:paraId="37FBEFB5" w14:textId="77777777" w:rsidR="00270FA6" w:rsidRPr="001370D1" w:rsidRDefault="00000000" w:rsidP="00F20A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 (Annual Report 2021)</w:t>
      </w:r>
    </w:p>
    <w:p w14:paraId="5727C0E7" w14:textId="77777777" w:rsidR="00270FA6" w:rsidRPr="001370D1" w:rsidRDefault="00000000" w:rsidP="00F20A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8"/>
        <w:gridCol w:w="2044"/>
        <w:gridCol w:w="1694"/>
        <w:gridCol w:w="1499"/>
        <w:gridCol w:w="1409"/>
        <w:gridCol w:w="1885"/>
      </w:tblGrid>
      <w:tr w:rsidR="00270FA6" w:rsidRPr="001370D1" w14:paraId="189EE0BC" w14:textId="77777777" w:rsidTr="001370D1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491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FE14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21AF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33851" w14:textId="5B038AFC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97DDF" w14:textId="597A2620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dismissal as a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  <w:proofErr w:type="gramEnd"/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EA79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270FA6" w:rsidRPr="001370D1" w14:paraId="420D49AD" w14:textId="77777777" w:rsidTr="001370D1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0403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CB6D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Hong Quang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EC0F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E081E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2018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A43E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B1EE6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  <w:tr w:rsidR="00270FA6" w:rsidRPr="001370D1" w14:paraId="31D51ED2" w14:textId="77777777" w:rsidTr="001370D1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04FD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2897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Hau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1AA0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 the Supervisory Board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5713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42EC2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286A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  <w:tr w:rsidR="00270FA6" w:rsidRPr="001370D1" w14:paraId="4E6095FE" w14:textId="77777777" w:rsidTr="001370D1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C29E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FF43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Lan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9648F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395B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2018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3908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C7F6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 of River Transport Economics</w:t>
            </w:r>
          </w:p>
        </w:tc>
      </w:tr>
      <w:tr w:rsidR="00270FA6" w:rsidRPr="001370D1" w14:paraId="0D5CAAFE" w14:textId="77777777" w:rsidTr="001370D1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7099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8ABC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Mai Trong Tai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369D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FD71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2022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C38FF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350B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  <w:tr w:rsidR="00270FA6" w:rsidRPr="001370D1" w14:paraId="0F57DB3E" w14:textId="77777777" w:rsidTr="001370D1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88753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C45B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Duong Thanh Ha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B005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86C9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B6B33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44C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</w:tbl>
    <w:p w14:paraId="388295B1" w14:textId="77777777" w:rsidR="00270FA6" w:rsidRPr="001370D1" w:rsidRDefault="00000000" w:rsidP="00B957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2"/>
        <w:gridCol w:w="1990"/>
        <w:gridCol w:w="1593"/>
        <w:gridCol w:w="1878"/>
        <w:gridCol w:w="3106"/>
      </w:tblGrid>
      <w:tr w:rsidR="00270FA6" w:rsidRPr="001370D1" w14:paraId="4989DF2A" w14:textId="77777777" w:rsidTr="001370D1">
        <w:trPr>
          <w:cantSplit/>
        </w:trPr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57BA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63D3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6542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6028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ACF2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270FA6" w:rsidRPr="001370D1" w14:paraId="76137964" w14:textId="77777777" w:rsidTr="001370D1">
        <w:trPr>
          <w:cantSplit/>
        </w:trPr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3197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591F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Tat Hung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DD4D3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1964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A748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 of sea transport economics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60D2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March 2002</w:t>
            </w:r>
          </w:p>
        </w:tc>
      </w:tr>
    </w:tbl>
    <w:p w14:paraId="6424E491" w14:textId="77777777" w:rsidR="00270FA6" w:rsidRPr="001370D1" w:rsidRDefault="00000000" w:rsidP="00B957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0"/>
        <w:gridCol w:w="1692"/>
        <w:gridCol w:w="2816"/>
        <w:gridCol w:w="1791"/>
      </w:tblGrid>
      <w:tr w:rsidR="00270FA6" w:rsidRPr="001370D1" w14:paraId="6412BB9D" w14:textId="77777777" w:rsidTr="001370D1">
        <w:trPr>
          <w:cantSplit/>
        </w:trPr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17699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FC95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AD41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80C0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270FA6" w:rsidRPr="001370D1" w14:paraId="7A8E2F5F" w14:textId="77777777" w:rsidTr="001370D1">
        <w:trPr>
          <w:cantSplit/>
        </w:trPr>
        <w:tc>
          <w:tcPr>
            <w:tcW w:w="1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46A07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Nhan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4546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08, 1974</w:t>
            </w:r>
          </w:p>
        </w:tc>
        <w:tc>
          <w:tcPr>
            <w:tcW w:w="1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5CBCE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 and Accounting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86B0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2018</w:t>
            </w:r>
          </w:p>
        </w:tc>
      </w:tr>
    </w:tbl>
    <w:p w14:paraId="3BBC552F" w14:textId="77777777" w:rsidR="00270FA6" w:rsidRPr="001370D1" w:rsidRDefault="00000000" w:rsidP="00F20A8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431CC7B6" w14:textId="77777777" w:rsidR="00270FA6" w:rsidRPr="001370D1" w:rsidRDefault="00000000" w:rsidP="00F20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company as prescribed in Clause 34, Article 6 of the Securities Law and transactions of affiliated persons of the Company with the Company itself</w:t>
      </w:r>
    </w:p>
    <w:p w14:paraId="57B9A0FA" w14:textId="77777777" w:rsidR="00270FA6" w:rsidRPr="001370D1" w:rsidRDefault="00000000" w:rsidP="00F20A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Company; or between the Company and major shareholders, PDMR and affiliated persons of PDMR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3"/>
        <w:gridCol w:w="1919"/>
        <w:gridCol w:w="931"/>
        <w:gridCol w:w="990"/>
        <w:gridCol w:w="640"/>
        <w:gridCol w:w="873"/>
        <w:gridCol w:w="1560"/>
        <w:gridCol w:w="1424"/>
        <w:gridCol w:w="389"/>
      </w:tblGrid>
      <w:tr w:rsidR="001370D1" w:rsidRPr="001370D1" w14:paraId="14B47980" w14:textId="77777777" w:rsidTr="001370D1">
        <w:trPr>
          <w:cantSplit/>
        </w:trPr>
        <w:tc>
          <w:tcPr>
            <w:tcW w:w="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6E0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73998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94C64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47FCD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  <w:p w14:paraId="34D7D5C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issue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71357" w14:textId="085F0BAD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DEDF6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F9A6D" w14:textId="25BFCEEA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Resolution/Decision No.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29D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transaction: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0D191" w14:textId="055CC069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1370D1" w:rsidRPr="001370D1" w14:paraId="54F2E664" w14:textId="77777777" w:rsidTr="001370D1">
        <w:trPr>
          <w:cantSplit/>
        </w:trPr>
        <w:tc>
          <w:tcPr>
            <w:tcW w:w="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5E476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A6F36" w14:textId="77777777" w:rsidR="00270FA6" w:rsidRPr="00E5386E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proofErr w:type="spellStart"/>
            <w:r w:rsidRPr="00E5386E">
              <w:rPr>
                <w:rFonts w:ascii="Arial" w:hAnsi="Arial"/>
                <w:color w:val="010000"/>
                <w:sz w:val="20"/>
                <w:lang w:val="fr-FR"/>
              </w:rPr>
              <w:t>Transimex</w:t>
            </w:r>
            <w:proofErr w:type="spellEnd"/>
            <w:r w:rsidRPr="00E5386E">
              <w:rPr>
                <w:rFonts w:ascii="Arial" w:hAnsi="Arial"/>
                <w:color w:val="010000"/>
                <w:sz w:val="20"/>
                <w:lang w:val="fr-FR"/>
              </w:rPr>
              <w:t xml:space="preserve"> Corporation Ha Noi Branch 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1B516" w14:textId="5D5C2C36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97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Phuc Tung is Deputy General Manager of Transimex Corporation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D0780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0301874259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592A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9th-10th Floor, No. 172 Hai Ba Trung Street, Dakao Ward, Ho Chi Minh City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86372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January 2023 to December 2021.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BBE2A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B427A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Container shipping according to the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principle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contract No. 01-2023/HDVC/TMS- TSC with transaction value of VND 311,803,600 (including value-added tax)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20768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0D1" w:rsidRPr="001370D1" w14:paraId="128D20BF" w14:textId="77777777" w:rsidTr="001370D1">
        <w:trPr>
          <w:cantSplit/>
        </w:trPr>
        <w:tc>
          <w:tcPr>
            <w:tcW w:w="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D5A5B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0083C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1040"/>
                <w:tab w:val="left" w:pos="177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Transimex Corporation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8C1F5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5BDE1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0301874259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70811" w14:textId="3D711B1F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9th-10th Floor, No. 172 Hai Ba Trung Street, Dakao Ward, Ho Chi Minh City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D6C35" w14:textId="77777777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July to December 2023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D2D29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DF72C" w14:textId="6300BBCA" w:rsidR="00270FA6" w:rsidRPr="001370D1" w:rsidRDefault="00000000" w:rsidP="00B9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170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Transimex Sun ship management services according to ship management contract No. 01/QLT/TMS-TSC dated April 10,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2023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with transaction value of </w:t>
            </w:r>
            <w:r w:rsidR="00B4363A">
              <w:rPr>
                <w:rFonts w:ascii="Arial" w:hAnsi="Arial"/>
                <w:color w:val="010000"/>
                <w:sz w:val="20"/>
              </w:rPr>
              <w:t xml:space="preserve">VND </w:t>
            </w:r>
            <w:r>
              <w:rPr>
                <w:rFonts w:ascii="Arial" w:hAnsi="Arial"/>
                <w:color w:val="010000"/>
                <w:sz w:val="20"/>
              </w:rPr>
              <w:t>611,597,954 (value-added tax included)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04613" w14:textId="77777777" w:rsidR="00270FA6" w:rsidRPr="001370D1" w:rsidRDefault="00270FA6" w:rsidP="00B957A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B2DEAB2" w14:textId="24699D3C" w:rsidR="00270FA6" w:rsidRPr="001370D1" w:rsidRDefault="00000000" w:rsidP="009367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affiliated persons of PDMR and subsidiaries, and companies controlled by the listed company: </w:t>
      </w:r>
      <w:proofErr w:type="gramStart"/>
      <w:r w:rsidR="009367DC">
        <w:rPr>
          <w:rFonts w:ascii="Arial" w:hAnsi="Arial"/>
          <w:color w:val="010000"/>
          <w:sz w:val="20"/>
        </w:rPr>
        <w:t>N</w:t>
      </w:r>
      <w:r>
        <w:rPr>
          <w:rFonts w:ascii="Arial" w:hAnsi="Arial"/>
          <w:color w:val="010000"/>
          <w:sz w:val="20"/>
        </w:rPr>
        <w:t>one</w:t>
      </w:r>
      <w:proofErr w:type="gramEnd"/>
    </w:p>
    <w:p w14:paraId="3B91880E" w14:textId="0DCB7A2B" w:rsidR="00270FA6" w:rsidRPr="001370D1" w:rsidRDefault="00000000" w:rsidP="009367DC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other entities: </w:t>
      </w:r>
      <w:r w:rsidR="009367DC">
        <w:rPr>
          <w:rFonts w:ascii="Arial" w:hAnsi="Arial"/>
          <w:color w:val="010000"/>
          <w:sz w:val="20"/>
        </w:rPr>
        <w:t>N</w:t>
      </w:r>
      <w:r>
        <w:rPr>
          <w:rFonts w:ascii="Arial" w:hAnsi="Arial"/>
          <w:color w:val="010000"/>
          <w:sz w:val="20"/>
        </w:rPr>
        <w:t>one</w:t>
      </w:r>
    </w:p>
    <w:p w14:paraId="591D4F4F" w14:textId="77777777" w:rsidR="00270FA6" w:rsidRPr="001370D1" w:rsidRDefault="00000000" w:rsidP="009367D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of PDMR and affiliated persons of PDMR:</w:t>
      </w:r>
    </w:p>
    <w:p w14:paraId="2D32CCE8" w14:textId="77777777" w:rsidR="00270FA6" w:rsidRPr="001370D1" w:rsidRDefault="00000000" w:rsidP="009367D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Transactions:</w:t>
      </w:r>
    </w:p>
    <w:p w14:paraId="10EB9ACE" w14:textId="77777777" w:rsidR="00270FA6" w:rsidRPr="001370D1" w:rsidRDefault="00000000" w:rsidP="009367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Transimex Corporation bought an additional 389,580 TJC shares. The number of shares held by Transimex Corporation after the transaction is 4,647,440 shares, accounting for 54.04% and officially becoming the Holding Company.</w:t>
      </w:r>
    </w:p>
    <w:p w14:paraId="107AABEB" w14:textId="20881E60" w:rsidR="00270FA6" w:rsidRPr="00B957A5" w:rsidRDefault="00000000" w:rsidP="00936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270FA6" w:rsidRPr="00B957A5" w:rsidSect="000A447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659"/>
    <w:multiLevelType w:val="multilevel"/>
    <w:tmpl w:val="2A6A9D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6C0"/>
    <w:multiLevelType w:val="multilevel"/>
    <w:tmpl w:val="5F6E58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DA4F9B"/>
    <w:multiLevelType w:val="multilevel"/>
    <w:tmpl w:val="50CE6E1E"/>
    <w:lvl w:ilvl="0">
      <w:start w:val="6"/>
      <w:numFmt w:val="upperRoman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A00368"/>
    <w:multiLevelType w:val="multilevel"/>
    <w:tmpl w:val="CB4CB9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91A"/>
    <w:multiLevelType w:val="multilevel"/>
    <w:tmpl w:val="084A3BA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2D5243"/>
    <w:multiLevelType w:val="multilevel"/>
    <w:tmpl w:val="40E292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616C"/>
    <w:multiLevelType w:val="multilevel"/>
    <w:tmpl w:val="8D185A02"/>
    <w:lvl w:ilvl="0">
      <w:start w:val="1"/>
      <w:numFmt w:val="upperRoman"/>
      <w:lvlText w:val="%1)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7116"/>
    <w:multiLevelType w:val="multilevel"/>
    <w:tmpl w:val="3F74D896"/>
    <w:lvl w:ilvl="0">
      <w:start w:val="4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823015">
    <w:abstractNumId w:val="2"/>
  </w:num>
  <w:num w:numId="2" w16cid:durableId="1049577043">
    <w:abstractNumId w:val="4"/>
  </w:num>
  <w:num w:numId="3" w16cid:durableId="1211920454">
    <w:abstractNumId w:val="7"/>
  </w:num>
  <w:num w:numId="4" w16cid:durableId="346323914">
    <w:abstractNumId w:val="6"/>
  </w:num>
  <w:num w:numId="5" w16cid:durableId="2092659468">
    <w:abstractNumId w:val="0"/>
  </w:num>
  <w:num w:numId="6" w16cid:durableId="1933972441">
    <w:abstractNumId w:val="3"/>
  </w:num>
  <w:num w:numId="7" w16cid:durableId="1815294301">
    <w:abstractNumId w:val="5"/>
  </w:num>
  <w:num w:numId="8" w16cid:durableId="163370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A6"/>
    <w:rsid w:val="000A447D"/>
    <w:rsid w:val="001370D1"/>
    <w:rsid w:val="001C2D3F"/>
    <w:rsid w:val="00270FA6"/>
    <w:rsid w:val="002A5593"/>
    <w:rsid w:val="004C29E3"/>
    <w:rsid w:val="009367DC"/>
    <w:rsid w:val="00B4363A"/>
    <w:rsid w:val="00B957A5"/>
    <w:rsid w:val="00E5386E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C8D0"/>
  <w15:docId w15:val="{F89419C5-F3B1-45CC-B033-B7AB342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1C2826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826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B344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B3440"/>
      <w:sz w:val="20"/>
      <w:szCs w:val="20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/>
      <w:iCs/>
      <w:smallCaps/>
      <w:strike w:val="0"/>
      <w:color w:val="AB344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color w:val="AB3440"/>
      <w:sz w:val="24"/>
      <w:szCs w:val="24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209" w:lineRule="auto"/>
    </w:pPr>
    <w:rPr>
      <w:rFonts w:ascii="Arial" w:eastAsia="Arial" w:hAnsi="Arial" w:cs="Arial"/>
      <w:b/>
      <w:bCs/>
      <w:color w:val="1C2826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line="161" w:lineRule="auto"/>
    </w:pPr>
    <w:rPr>
      <w:rFonts w:ascii="Times New Roman" w:eastAsia="Times New Roman" w:hAnsi="Times New Roman" w:cs="Times New Roman"/>
      <w:color w:val="1C2826"/>
      <w:sz w:val="18"/>
      <w:szCs w:val="18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color w:val="AB3440"/>
      <w:sz w:val="30"/>
      <w:szCs w:val="3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37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348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Arial" w:eastAsia="Arial" w:hAnsi="Arial" w:cs="Arial"/>
      <w:color w:val="AB3440"/>
      <w:sz w:val="20"/>
      <w:szCs w:val="20"/>
    </w:rPr>
  </w:style>
  <w:style w:type="paragraph" w:customStyle="1" w:styleId="Bodytext70">
    <w:name w:val="Body text (7)"/>
    <w:basedOn w:val="Normal"/>
    <w:link w:val="Bodytext7"/>
    <w:pPr>
      <w:jc w:val="center"/>
    </w:pPr>
    <w:rPr>
      <w:rFonts w:ascii="Arial" w:eastAsia="Arial" w:hAnsi="Arial" w:cs="Arial"/>
      <w:i/>
      <w:iCs/>
      <w:smallCaps/>
      <w:color w:val="AB3440"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line="230" w:lineRule="auto"/>
    </w:pPr>
    <w:rPr>
      <w:rFonts w:ascii="Arial" w:eastAsia="Arial" w:hAnsi="Arial" w:cs="Arial"/>
      <w:i/>
      <w:iCs/>
      <w:color w:val="AB3440"/>
    </w:rPr>
  </w:style>
  <w:style w:type="paragraph" w:styleId="ListParagraph">
    <w:name w:val="List Paragraph"/>
    <w:basedOn w:val="Normal"/>
    <w:uiPriority w:val="34"/>
    <w:qFormat/>
    <w:rsid w:val="00BA20F0"/>
    <w:pPr>
      <w:ind w:left="720"/>
      <w:contextualSpacing/>
    </w:pPr>
  </w:style>
  <w:style w:type="table" w:styleId="TableGrid">
    <w:name w:val="Table Grid"/>
    <w:basedOn w:val="TableNormal"/>
    <w:uiPriority w:val="39"/>
    <w:rsid w:val="00BA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122xTZOtI+ceEhmgRS1E/ip27g==">CgMxLjA4AHIhMTExMHcxc3lnQUtpSzNxck56eWpnbjl2bHZxcVBLY1RO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A216</cp:lastModifiedBy>
  <cp:revision>9</cp:revision>
  <dcterms:created xsi:type="dcterms:W3CDTF">2024-02-16T04:43:00Z</dcterms:created>
  <dcterms:modified xsi:type="dcterms:W3CDTF">2024-02-18T08:50:00Z</dcterms:modified>
</cp:coreProperties>
</file>