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EC9B" w14:textId="77777777" w:rsidR="007131FC" w:rsidRPr="00192FF9" w:rsidRDefault="00000000" w:rsidP="00192FF9">
      <w:pPr>
        <w:pBdr>
          <w:top w:val="nil"/>
          <w:left w:val="nil"/>
          <w:bottom w:val="nil"/>
          <w:right w:val="nil"/>
          <w:between w:val="nil"/>
        </w:pBdr>
        <w:tabs>
          <w:tab w:val="left" w:pos="580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VIT: Annual Corporate Governance Report 2023</w:t>
      </w:r>
    </w:p>
    <w:p w14:paraId="28A3E1E5" w14:textId="06767C23" w:rsidR="007131FC" w:rsidRPr="00192FF9" w:rsidRDefault="00B27BDD" w:rsidP="00192FF9">
      <w:pPr>
        <w:pBdr>
          <w:top w:val="nil"/>
          <w:left w:val="nil"/>
          <w:bottom w:val="nil"/>
          <w:right w:val="nil"/>
          <w:between w:val="nil"/>
        </w:pBdr>
        <w:tabs>
          <w:tab w:val="left" w:pos="58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</w:t>
      </w:r>
      <w:r>
        <w:rPr>
          <w:rFonts w:ascii="Arial" w:hAnsi="Arial"/>
          <w:color w:val="010000"/>
          <w:sz w:val="20"/>
          <w:lang w:val="vi-VN"/>
        </w:rPr>
        <w:t xml:space="preserve"> </w:t>
      </w:r>
      <w:r w:rsidR="00000000">
        <w:rPr>
          <w:rFonts w:ascii="Arial" w:hAnsi="Arial"/>
          <w:color w:val="010000"/>
          <w:sz w:val="20"/>
        </w:rPr>
        <w:t xml:space="preserve">January, 2023, </w:t>
      </w:r>
      <w:proofErr w:type="spellStart"/>
      <w:r w:rsidR="00000000">
        <w:rPr>
          <w:rFonts w:ascii="Arial" w:hAnsi="Arial"/>
          <w:color w:val="010000"/>
          <w:sz w:val="20"/>
        </w:rPr>
        <w:t>Viglacera</w:t>
      </w:r>
      <w:proofErr w:type="spellEnd"/>
      <w:r w:rsidR="00000000">
        <w:rPr>
          <w:rFonts w:ascii="Arial" w:hAnsi="Arial"/>
          <w:color w:val="010000"/>
          <w:sz w:val="20"/>
        </w:rPr>
        <w:t xml:space="preserve"> Tien Son JSC announced Report on Corporate Governance 2023 as follows:</w:t>
      </w:r>
    </w:p>
    <w:p w14:paraId="321DCAF6" w14:textId="77777777" w:rsidR="007131FC" w:rsidRPr="00192FF9" w:rsidRDefault="00000000" w:rsidP="00192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listed company: </w:t>
      </w:r>
      <w:proofErr w:type="spellStart"/>
      <w:r>
        <w:rPr>
          <w:rFonts w:ascii="Arial" w:hAnsi="Arial"/>
          <w:color w:val="010000"/>
          <w:sz w:val="20"/>
        </w:rPr>
        <w:t>Viglacera</w:t>
      </w:r>
      <w:proofErr w:type="spellEnd"/>
      <w:r>
        <w:rPr>
          <w:rFonts w:ascii="Arial" w:hAnsi="Arial"/>
          <w:color w:val="010000"/>
          <w:sz w:val="20"/>
        </w:rPr>
        <w:t xml:space="preserve"> Tien Son JSC</w:t>
      </w:r>
    </w:p>
    <w:p w14:paraId="3BFFFEC2" w14:textId="77777777" w:rsidR="007131FC" w:rsidRPr="00192FF9" w:rsidRDefault="00000000" w:rsidP="00192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Tien Son Industrial Park, Tien Du District, Bac </w:t>
      </w:r>
      <w:proofErr w:type="spellStart"/>
      <w:r>
        <w:rPr>
          <w:rFonts w:ascii="Arial" w:hAnsi="Arial"/>
          <w:color w:val="010000"/>
          <w:sz w:val="20"/>
        </w:rPr>
        <w:t>Ninh</w:t>
      </w:r>
      <w:proofErr w:type="spellEnd"/>
      <w:r>
        <w:rPr>
          <w:rFonts w:ascii="Arial" w:hAnsi="Arial"/>
          <w:color w:val="010000"/>
          <w:sz w:val="20"/>
        </w:rPr>
        <w:t xml:space="preserve"> Province</w:t>
      </w:r>
    </w:p>
    <w:p w14:paraId="66DD2593" w14:textId="77777777" w:rsidR="007131FC" w:rsidRPr="00192FF9" w:rsidRDefault="00000000" w:rsidP="00192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41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0222.3839395      Fax: 0222.3838917</w:t>
      </w:r>
    </w:p>
    <w:p w14:paraId="4CF77515" w14:textId="77777777" w:rsidR="007131FC" w:rsidRPr="00192FF9" w:rsidRDefault="00000000" w:rsidP="00192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500,000,000,000</w:t>
      </w:r>
    </w:p>
    <w:p w14:paraId="4C538A0F" w14:textId="77777777" w:rsidR="007131FC" w:rsidRPr="00192FF9" w:rsidRDefault="00000000" w:rsidP="00192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VIT</w:t>
      </w:r>
    </w:p>
    <w:p w14:paraId="3BE43CB6" w14:textId="77777777" w:rsidR="007131FC" w:rsidRPr="00192FF9" w:rsidRDefault="00000000" w:rsidP="00192F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14:paraId="3DF9F519" w14:textId="0A46077D" w:rsidR="007131FC" w:rsidRPr="00192FF9" w:rsidRDefault="00000000" w:rsidP="00192F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meetings and General Mandate/Decisions</w:t>
      </w:r>
      <w:r w:rsidR="00B27BDD">
        <w:rPr>
          <w:rFonts w:ascii="Arial" w:hAnsi="Arial"/>
          <w:color w:val="010000"/>
          <w:sz w:val="20"/>
          <w:lang w:val="vi-VN"/>
        </w:rPr>
        <w:t xml:space="preserve"> of the General Meeting of Shareholders</w:t>
      </w:r>
      <w:r>
        <w:rPr>
          <w:rFonts w:ascii="Arial" w:hAnsi="Arial"/>
          <w:color w:val="010000"/>
          <w:sz w:val="20"/>
        </w:rPr>
        <w:t>.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462"/>
        <w:gridCol w:w="1733"/>
        <w:gridCol w:w="1731"/>
        <w:gridCol w:w="784"/>
        <w:gridCol w:w="4307"/>
      </w:tblGrid>
      <w:tr w:rsidR="007131FC" w:rsidRPr="00192FF9" w14:paraId="431EB604" w14:textId="77777777" w:rsidTr="00192FF9">
        <w:trPr>
          <w:cantSplit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C97E6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C27E5" w14:textId="5BC7BD16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 Decision </w:t>
            </w:r>
            <w:r w:rsidR="00B27BDD">
              <w:rPr>
                <w:rFonts w:ascii="Arial" w:hAnsi="Arial"/>
                <w:color w:val="010000"/>
                <w:sz w:val="20"/>
                <w:lang w:val="vi-VN"/>
              </w:rPr>
              <w:t>of the General Meeting of Shareholders</w:t>
            </w:r>
            <w:r w:rsidR="00B27BDD">
              <w:rPr>
                <w:rFonts w:ascii="Arial" w:hAnsi="Arial"/>
                <w:color w:val="010000"/>
                <w:sz w:val="20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3781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427BC" w14:textId="77777777" w:rsidR="007131FC" w:rsidRPr="00192FF9" w:rsidRDefault="007131FC" w:rsidP="00192FF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88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53568" w14:textId="77777777" w:rsidR="007131FC" w:rsidRPr="00192FF9" w:rsidRDefault="00000000" w:rsidP="00192FF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7131FC" w:rsidRPr="00192FF9" w14:paraId="524F0D78" w14:textId="77777777" w:rsidTr="00192FF9">
        <w:trPr>
          <w:cantSplit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98C2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164D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754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F0C12" w14:textId="77777777" w:rsidR="007131FC" w:rsidRPr="00192FF9" w:rsidRDefault="00000000" w:rsidP="00192FF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of the General Meeting of Shareholders 2023.</w:t>
            </w:r>
          </w:p>
        </w:tc>
      </w:tr>
      <w:tr w:rsidR="007131FC" w:rsidRPr="00192FF9" w14:paraId="20FB603C" w14:textId="77777777" w:rsidTr="00192FF9">
        <w:trPr>
          <w:cantSplit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4830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41DA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275A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81CF3" w14:textId="77777777" w:rsidR="007131FC" w:rsidRPr="00192FF9" w:rsidRDefault="00000000" w:rsidP="00192FF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66A79BFC" w14:textId="77777777" w:rsidR="007131FC" w:rsidRPr="00192FF9" w:rsidRDefault="00000000" w:rsidP="00192F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Directors:</w:t>
      </w:r>
    </w:p>
    <w:p w14:paraId="4718099C" w14:textId="77777777" w:rsidR="007131FC" w:rsidRPr="00192FF9" w:rsidRDefault="00000000" w:rsidP="00192F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1"/>
        <w:gridCol w:w="2336"/>
        <w:gridCol w:w="1032"/>
        <w:gridCol w:w="1999"/>
        <w:gridCol w:w="1036"/>
        <w:gridCol w:w="1032"/>
        <w:gridCol w:w="991"/>
      </w:tblGrid>
      <w:tr w:rsidR="007131FC" w:rsidRPr="00192FF9" w14:paraId="0439F848" w14:textId="77777777" w:rsidTr="00192FF9">
        <w:trPr>
          <w:cantSplit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5713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48EF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D609D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65556" w14:textId="05979D01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a member of the Board of Directors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4B52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attended meetings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6B57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C92D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not attending</w:t>
            </w:r>
          </w:p>
        </w:tc>
      </w:tr>
      <w:tr w:rsidR="007131FC" w:rsidRPr="00192FF9" w14:paraId="56913FDA" w14:textId="77777777" w:rsidTr="00192FF9">
        <w:trPr>
          <w:cantSplit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6A22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743E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Anh Tuan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5B6D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309A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6, 2020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5249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9195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E9EDC" w14:textId="77777777" w:rsidR="007131FC" w:rsidRPr="00192FF9" w:rsidRDefault="007131FC" w:rsidP="00192FF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31FC" w:rsidRPr="00192FF9" w14:paraId="30B3A06E" w14:textId="77777777" w:rsidTr="00192FF9">
        <w:trPr>
          <w:cantSplit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B778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5F82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E804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D25C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22, 2013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E028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2DAD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24AFC" w14:textId="77777777" w:rsidR="007131FC" w:rsidRPr="00192FF9" w:rsidRDefault="007131FC" w:rsidP="00192FF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31FC" w:rsidRPr="00192FF9" w14:paraId="3FEF363B" w14:textId="77777777" w:rsidTr="00192FF9">
        <w:trPr>
          <w:cantSplit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E719A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91264" w14:textId="18ADEA55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</w:t>
            </w:r>
            <w:r w:rsidR="00B27BDD">
              <w:rPr>
                <w:rFonts w:ascii="Arial" w:hAnsi="Arial"/>
                <w:color w:val="010000"/>
                <w:sz w:val="20"/>
                <w:lang w:val="vi-VN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t xml:space="preserve">Quach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Thuan</w:t>
            </w:r>
            <w:proofErr w:type="spellEnd"/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33A1A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8E4FD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22, 2013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5AD2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18D8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E9F3A" w14:textId="77777777" w:rsidR="007131FC" w:rsidRPr="00192FF9" w:rsidRDefault="007131FC" w:rsidP="00192FF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31FC" w:rsidRPr="00192FF9" w14:paraId="242987A1" w14:textId="77777777" w:rsidTr="00192FF9">
        <w:trPr>
          <w:cantSplit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05E2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A085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Hieu</w:t>
            </w:r>
            <w:proofErr w:type="spellEnd"/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FC91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1D05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March 06, 2020, to March 31, 2023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19B4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EC35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8C490" w14:textId="77777777" w:rsidR="007131FC" w:rsidRPr="00192FF9" w:rsidRDefault="007131FC" w:rsidP="00192FF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31FC" w:rsidRPr="00192FF9" w14:paraId="387032B9" w14:textId="77777777" w:rsidTr="00192FF9">
        <w:trPr>
          <w:cantSplit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4F19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63B3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Mai Xuan Duc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9F69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590EA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21, 2021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5324D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7B74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DCEB8" w14:textId="77777777" w:rsidR="007131FC" w:rsidRPr="00192FF9" w:rsidRDefault="007131FC" w:rsidP="00192FF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31FC" w:rsidRPr="00192FF9" w14:paraId="22A1D4B3" w14:textId="77777777" w:rsidTr="00192FF9">
        <w:trPr>
          <w:cantSplit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6C0C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F009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Truc</w:t>
            </w:r>
            <w:proofErr w:type="spellEnd"/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585D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BF70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169D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5447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0D616" w14:textId="77777777" w:rsidR="007131FC" w:rsidRPr="00192FF9" w:rsidRDefault="007131FC" w:rsidP="00192FF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5698E2D" w14:textId="77777777" w:rsidR="007131FC" w:rsidRPr="00192FF9" w:rsidRDefault="00000000" w:rsidP="00192F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9"/>
        <w:gridCol w:w="999"/>
        <w:gridCol w:w="1021"/>
        <w:gridCol w:w="6558"/>
      </w:tblGrid>
      <w:tr w:rsidR="007131FC" w:rsidRPr="00192FF9" w14:paraId="73A82669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0223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CCDC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18219" w14:textId="165D7326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 Decision No.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8B8D9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7131FC" w:rsidRPr="00192FF9" w14:paraId="71C292BF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67239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8B3BA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17,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390D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7FFF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Board of Directors on the trial production plan for the project "Buying and renovating Bach Ma Ceramic Tiles Factory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Eurotile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Ceramic Factory with the capacity of 9.0 million m2/year”</w:t>
            </w:r>
          </w:p>
        </w:tc>
      </w:tr>
      <w:tr w:rsidR="007131FC" w:rsidRPr="00192FF9" w14:paraId="131FAB21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48D3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9688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17,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C6AD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CC6B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approving the trial production plan for the project "Buying and renovating Bach Ma Ceramic Tiles Factory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Eurotile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Ceramic Factory with the capacity of 9.0 million m2/year”</w:t>
            </w:r>
          </w:p>
        </w:tc>
      </w:tr>
      <w:tr w:rsidR="007131FC" w:rsidRPr="00192FF9" w14:paraId="46EC133A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4CC4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CCD7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18,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2ADF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79F0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Meeting Minutes of the Board of Directors on approving the production and business results in Q4/2022 and the production and business plan for Q1/2023</w:t>
            </w:r>
          </w:p>
        </w:tc>
      </w:tr>
      <w:tr w:rsidR="007131FC" w:rsidRPr="00192FF9" w14:paraId="14F0FC4D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A697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BF7E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18,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3442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B163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production and business results in Q4/2022 and the production and business plan for Q1/2023</w:t>
            </w:r>
          </w:p>
        </w:tc>
      </w:tr>
      <w:tr w:rsidR="007131FC" w:rsidRPr="00192FF9" w14:paraId="11679665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BDD2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0106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15,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3687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C481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submitted to the company on the approving the Annual General Meeting of Shareholders 2023</w:t>
            </w:r>
          </w:p>
        </w:tc>
      </w:tr>
      <w:tr w:rsidR="007131FC" w:rsidRPr="00192FF9" w14:paraId="35A077F1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15EF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4B4A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3F1E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395A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Board of Directors on the financial lease at Vietnam International Financial Leasing Company </w:t>
            </w:r>
          </w:p>
        </w:tc>
      </w:tr>
      <w:tr w:rsidR="007131FC" w:rsidRPr="00192FF9" w14:paraId="0B79FA22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6175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A46B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69ED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93E5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Board of Directors in 2022 and solutions to implement production and business tasks in 2023 at the Annual General Meeting of Shareholders in 2023</w:t>
            </w:r>
          </w:p>
        </w:tc>
      </w:tr>
      <w:tr w:rsidR="007131FC" w:rsidRPr="00192FF9" w14:paraId="5F08F7E1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DB25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03C4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4525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8C84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Meeting Minutes of the Board of Directors on electing the Chair of the Board of Directors in the term of 2023-2027</w:t>
            </w:r>
          </w:p>
        </w:tc>
      </w:tr>
      <w:tr w:rsidR="007131FC" w:rsidRPr="00192FF9" w14:paraId="212AD6B2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A5EB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03C2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00A9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42BA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Board of Directors on the financial lease at Finance Leasing Company Limited - Vietnam Joint Stock Commercial Bank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For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Industry And Trade</w:t>
            </w:r>
          </w:p>
        </w:tc>
      </w:tr>
      <w:tr w:rsidR="007131FC" w:rsidRPr="00192FF9" w14:paraId="04A5A426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B3346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AB84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C704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D4B7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Board of Directors on the loan and authorization of loans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Vietnnam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Commercial Bank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For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Industry And Trade - Tien Son Industrial Branch and Ba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</w:tr>
      <w:tr w:rsidR="007131FC" w:rsidRPr="00192FF9" w14:paraId="65D26A0F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6FFF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5E55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B3EAD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03C3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Board of Directors on approving the settlement on regular maintenance and repair in 2023 at Tien Son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Factory, Thai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Factory and My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Factory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 xml:space="preserve">- 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Tien Son JSC</w:t>
            </w:r>
          </w:p>
        </w:tc>
      </w:tr>
      <w:tr w:rsidR="007131FC" w:rsidRPr="00192FF9" w14:paraId="1A846375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BB31D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34E6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4A53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2B48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the plan on approving the settlement on regular maintenance and repair in 2023 at Tien Son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Factory, Thai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Factory and My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Factory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 xml:space="preserve">- 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Tien Son JSC</w:t>
            </w:r>
          </w:p>
        </w:tc>
      </w:tr>
      <w:tr w:rsidR="007131FC" w:rsidRPr="00192FF9" w14:paraId="5C2316FD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82CC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A039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88E0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D51A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Meeting Minutes of the Board of Directors on approving the production and business results in Q1/2023 and the production and business plan for Q4/2023</w:t>
            </w:r>
          </w:p>
        </w:tc>
      </w:tr>
      <w:tr w:rsidR="007131FC" w:rsidRPr="00192FF9" w14:paraId="0489F5C7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5CA2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8A5F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2C06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B1B0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production and business results in Q1/2023 and the production and business plan for Q4/2023</w:t>
            </w:r>
          </w:p>
        </w:tc>
      </w:tr>
      <w:tr w:rsidR="007131FC" w:rsidRPr="00192FF9" w14:paraId="6BD17022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6994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3054D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EF98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82789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Board of Directors on approving the results of the trial production plan for the project "Buying and renovating Bach Ma Ceramic Tiles Factory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Eurotile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Ceramic Factory with the capacity of 9.0 million m2/year”</w:t>
            </w:r>
          </w:p>
        </w:tc>
      </w:tr>
      <w:tr w:rsidR="007131FC" w:rsidRPr="00192FF9" w14:paraId="4E78C133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7BF7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9F10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18D56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801C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approving the result of the trial production plan for the project "Buying and renovating Bach Ma Ceramic Tiles Factory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Eurotile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Ceramic Factory with the capacity of 9.0 million m2/year”</w:t>
            </w:r>
          </w:p>
        </w:tc>
      </w:tr>
      <w:tr w:rsidR="007131FC" w:rsidRPr="00192FF9" w14:paraId="446052AB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8AB4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E9B6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CA08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61F6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Meeting Minutes of the Board of Directors on approving the independent audit company to review the Semi-Annual Financial Statements 2023 and audit for the fiscal year 2023.</w:t>
            </w:r>
          </w:p>
        </w:tc>
      </w:tr>
      <w:tr w:rsidR="007131FC" w:rsidRPr="00192FF9" w14:paraId="54122DBB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03B4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E950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88BB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467E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independent audit company to review the Semi-Annual Financial Statements 2023 and audit for the fiscal year 2023.</w:t>
            </w:r>
          </w:p>
        </w:tc>
      </w:tr>
      <w:tr w:rsidR="007131FC" w:rsidRPr="00192FF9" w14:paraId="2E22ECA6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13699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8795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2023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44F8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AF19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Board of Directors on the loans and authorization of the loans at Joint Stock Commercial Bank for Investment and Development of Vietnam - Trang Tien Branch - Ha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Noi</w:t>
            </w:r>
            <w:proofErr w:type="spellEnd"/>
          </w:p>
        </w:tc>
      </w:tr>
      <w:tr w:rsidR="007131FC" w:rsidRPr="00192FF9" w14:paraId="22387392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D580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6AF1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26,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858E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19.1/VIT-HDQT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680D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approving adjustments to the total expense estimate of the project “Buying and renovating Bach Ma Ceramic Tiles Factory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Eurotile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Ceramic Factory with the capacity of 9.0 million m2/year”.</w:t>
            </w:r>
          </w:p>
        </w:tc>
      </w:tr>
      <w:tr w:rsidR="007131FC" w:rsidRPr="00192FF9" w14:paraId="119CA55F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670D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4E3C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27,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2BE5A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19.2/VIT-HDQT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D6F1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Board of Directors on the investment project (adjustment) “Buying and renovating Bach Ma Ceramic Tiles Factory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Eurotile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Ceramic Factory with the capacity of 9.0 million m2/year”-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Tien Son JSC</w:t>
            </w:r>
          </w:p>
        </w:tc>
      </w:tr>
      <w:tr w:rsidR="007131FC" w:rsidRPr="00192FF9" w14:paraId="670787EE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0EE5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22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3C49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28,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89D0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19.3/VIT-HDQT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E0CA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approving the investment project (adjustment) of "Buying and renovating Bach Ma Ceramic Tiles Factory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Eurotile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Ceramic Factory with the capacity of 9.0 million m2/year"</w:t>
            </w:r>
          </w:p>
        </w:tc>
      </w:tr>
      <w:tr w:rsidR="007131FC" w:rsidRPr="00192FF9" w14:paraId="5C1594D5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6909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52C7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August 2,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6F179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A838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Board of Directors on personnel work of Mr. Truong Ngoc Minh - Deputy Manager of the Company </w:t>
            </w:r>
          </w:p>
        </w:tc>
      </w:tr>
      <w:tr w:rsidR="007131FC" w:rsidRPr="00192FF9" w14:paraId="1CEB1187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B9CB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7596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August 2,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41E6A" w14:textId="2FB6FEBA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F995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Document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Tien Son JSC on personnel work of Mr. Truong Ngoc Minh - Deputy Manager of the Company </w:t>
            </w:r>
          </w:p>
        </w:tc>
      </w:tr>
      <w:tr w:rsidR="007131FC" w:rsidRPr="00192FF9" w14:paraId="6C2CEC9D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C16E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6570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August 30,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4B41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D4C16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Meeting Minutes of the Board of Directors on approving the production and business results in Q4/2023 and the production and business plan for Q3/2023</w:t>
            </w:r>
          </w:p>
        </w:tc>
      </w:tr>
      <w:tr w:rsidR="007131FC" w:rsidRPr="00192FF9" w14:paraId="418F0DB7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E305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1ED8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August 30,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1043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AAA96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production and business results in Q4/2023 and the production and business plan for Q3/2023</w:t>
            </w:r>
          </w:p>
        </w:tc>
      </w:tr>
      <w:tr w:rsidR="007131FC" w:rsidRPr="00192FF9" w14:paraId="600FFF74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DFB6D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3453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August 31,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20BF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0FDA9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personnel work of Mr. Truong Ngoc Minh - Deputy Manager of the Company </w:t>
            </w:r>
          </w:p>
        </w:tc>
      </w:tr>
      <w:tr w:rsidR="007131FC" w:rsidRPr="00192FF9" w14:paraId="7BED26FE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7F4C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68F3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September 5,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14D2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8D98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Meeting Minutes of the Board of Directors on approving the loan plan at VIB Bank - Exchange Branch</w:t>
            </w:r>
          </w:p>
        </w:tc>
      </w:tr>
      <w:tr w:rsidR="007131FC" w:rsidRPr="00192FF9" w14:paraId="51614706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DD0A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A67F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September 14,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34BA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9B56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Board of Directors on approving the settlement of the project “Buying and renovating Bach Ma Ceramic Tiles Factory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Eurotile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Ceramic Factory with the capacity of 9.0 million m2/year”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Tien Son JSC</w:t>
            </w:r>
          </w:p>
        </w:tc>
      </w:tr>
      <w:tr w:rsidR="007131FC" w:rsidRPr="00192FF9" w14:paraId="1BCE8FF8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E8EE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D89C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September 14,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AE71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1253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approving the settlement of the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project  “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Buying and renovating Bach Ma Ceramic Tiles Factory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Eurotile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Ceramic Factory with the capacity of 9.0 million m2/year”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Viglacera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Tien Son JSC</w:t>
            </w:r>
          </w:p>
        </w:tc>
      </w:tr>
      <w:tr w:rsidR="007131FC" w:rsidRPr="00192FF9" w14:paraId="16BFB6D7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5EBC4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2B3C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December 2,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73FD1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8180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to the Company on approving the production and business plan and investment in 2024</w:t>
            </w:r>
          </w:p>
        </w:tc>
      </w:tr>
      <w:tr w:rsidR="007131FC" w:rsidRPr="00192FF9" w14:paraId="7FECCC89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6233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17E9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December 2,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18A79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9F8DA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Board of Directors on loans plan at TP Bank </w:t>
            </w:r>
          </w:p>
        </w:tc>
      </w:tr>
      <w:tr w:rsidR="007131FC" w:rsidRPr="00192FF9" w14:paraId="6B08CC97" w14:textId="77777777" w:rsidTr="00192FF9">
        <w:trPr>
          <w:cantSplit/>
        </w:trPr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FA206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79C9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December 26, 2023 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E3F1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30/VIT-HDQT</w:t>
            </w:r>
          </w:p>
        </w:tc>
        <w:tc>
          <w:tcPr>
            <w:tcW w:w="3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73C16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to the Company on the application for approval of the policy on buying cars for work</w:t>
            </w:r>
          </w:p>
        </w:tc>
      </w:tr>
    </w:tbl>
    <w:p w14:paraId="4B9DAA53" w14:textId="77777777" w:rsidR="007131FC" w:rsidRPr="00192FF9" w:rsidRDefault="00000000" w:rsidP="00192F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Supervisory Board </w:t>
      </w:r>
    </w:p>
    <w:p w14:paraId="7A9C1A86" w14:textId="77777777" w:rsidR="007131FC" w:rsidRPr="00192FF9" w:rsidRDefault="00000000" w:rsidP="00192F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8"/>
        <w:gridCol w:w="2516"/>
        <w:gridCol w:w="1678"/>
        <w:gridCol w:w="1999"/>
        <w:gridCol w:w="1164"/>
        <w:gridCol w:w="1032"/>
      </w:tblGrid>
      <w:tr w:rsidR="007131FC" w:rsidRPr="00192FF9" w14:paraId="0D980038" w14:textId="77777777" w:rsidTr="00192FF9">
        <w:trPr>
          <w:cantSplit/>
        </w:trPr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287D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2BC1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6AEE5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080A6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44B1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attended meetings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111E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</w:tr>
      <w:tr w:rsidR="007131FC" w:rsidRPr="00192FF9" w14:paraId="111F7DF3" w14:textId="77777777" w:rsidTr="00192FF9">
        <w:trPr>
          <w:cantSplit/>
        </w:trPr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D142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ACB4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Cam Van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6061C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568C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June 25, 2021 to March 31, 2023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10623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54BF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  <w:tr w:rsidR="007131FC" w:rsidRPr="00192FF9" w14:paraId="15FEBC1B" w14:textId="77777777" w:rsidTr="00192FF9">
        <w:trPr>
          <w:cantSplit/>
        </w:trPr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F907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71AF9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Quang Hai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29D32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56E1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E3E68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CD68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  <w:tr w:rsidR="007131FC" w:rsidRPr="00192FF9" w14:paraId="37EF6925" w14:textId="77777777" w:rsidTr="00192FF9">
        <w:trPr>
          <w:cantSplit/>
        </w:trPr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32116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9471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Huyen</w:t>
            </w:r>
            <w:proofErr w:type="spellEnd"/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7E88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1952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7, 2021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500BF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A5C9B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  <w:tr w:rsidR="007131FC" w:rsidRPr="00192FF9" w14:paraId="68238DA6" w14:textId="77777777" w:rsidTr="00192FF9">
        <w:trPr>
          <w:cantSplit/>
        </w:trPr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18B2D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53C47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Dang Quoc Tuan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63E3D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EB12E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7, 2021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017D6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F5CB0" w14:textId="77777777" w:rsidR="007131FC" w:rsidRPr="00192FF9" w:rsidRDefault="00000000" w:rsidP="0019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</w:tbl>
    <w:p w14:paraId="36FDFE9C" w14:textId="77777777" w:rsidR="007131FC" w:rsidRPr="00192FF9" w:rsidRDefault="00000000" w:rsidP="00192F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491D8754" w14:textId="77777777" w:rsidR="007131FC" w:rsidRPr="00192FF9" w:rsidRDefault="00000000" w:rsidP="00192F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the listed company as prescribed in Clause 34, Article 6 of the Law on Securities and transactions between affiliated persons of the Company and the Company itself.</w:t>
      </w:r>
    </w:p>
    <w:p w14:paraId="0CDD877F" w14:textId="77777777" w:rsidR="007131FC" w:rsidRPr="00192FF9" w:rsidRDefault="00000000" w:rsidP="00192F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affiliated persons of the Company; or between the Company and major shareholders, PDMR and affiliated persons of PDMR announced in the Financial Statement of Q2/2023 of the Company.</w:t>
      </w:r>
    </w:p>
    <w:p w14:paraId="29A3CEC8" w14:textId="77777777" w:rsidR="007131FC" w:rsidRPr="00192FF9" w:rsidRDefault="00000000" w:rsidP="00192F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PDMR of the listed company, affiliated persons of PDMR and subsidiaries or companies controlled by the listed company: announced in the Financial Statement of Q4/2023 of the Company.</w:t>
      </w:r>
    </w:p>
    <w:p w14:paraId="0C40989D" w14:textId="77777777" w:rsidR="007131FC" w:rsidRPr="00192FF9" w:rsidRDefault="00000000" w:rsidP="00192F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entities/ announced in the Financial Statement of Q4/2023 of the Company.</w:t>
      </w:r>
    </w:p>
    <w:p w14:paraId="252B7D3A" w14:textId="77777777" w:rsidR="007131FC" w:rsidRPr="00192FF9" w:rsidRDefault="00000000" w:rsidP="00192F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affiliated persons of PDMR</w:t>
      </w:r>
    </w:p>
    <w:p w14:paraId="106FEAC5" w14:textId="77777777" w:rsidR="007131FC" w:rsidRPr="00192FF9" w:rsidRDefault="00000000" w:rsidP="00192F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Company’s share transactions of PDMR and affiliated persons: none</w:t>
      </w:r>
    </w:p>
    <w:sectPr w:rsidR="007131FC" w:rsidRPr="00192FF9" w:rsidSect="00E8183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D67"/>
    <w:multiLevelType w:val="multilevel"/>
    <w:tmpl w:val="99086FC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A4C5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301C19"/>
    <w:multiLevelType w:val="multilevel"/>
    <w:tmpl w:val="8E7EF0C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617C"/>
    <w:multiLevelType w:val="multilevel"/>
    <w:tmpl w:val="36CCA36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A4C5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AE80493"/>
    <w:multiLevelType w:val="multilevel"/>
    <w:tmpl w:val="2CB804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648CE"/>
    <w:multiLevelType w:val="multilevel"/>
    <w:tmpl w:val="24401ADE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566A"/>
    <w:multiLevelType w:val="multilevel"/>
    <w:tmpl w:val="5BB832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841951">
    <w:abstractNumId w:val="4"/>
  </w:num>
  <w:num w:numId="2" w16cid:durableId="832405305">
    <w:abstractNumId w:val="3"/>
  </w:num>
  <w:num w:numId="3" w16cid:durableId="975646639">
    <w:abstractNumId w:val="5"/>
  </w:num>
  <w:num w:numId="4" w16cid:durableId="1647322805">
    <w:abstractNumId w:val="1"/>
  </w:num>
  <w:num w:numId="5" w16cid:durableId="512033191">
    <w:abstractNumId w:val="0"/>
  </w:num>
  <w:num w:numId="6" w16cid:durableId="37316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FC"/>
    <w:rsid w:val="00192FF9"/>
    <w:rsid w:val="007131FC"/>
    <w:rsid w:val="00B27BDD"/>
    <w:rsid w:val="00E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D68BE7"/>
  <w15:docId w15:val="{4C0EE1D0-CAA8-4FFC-A2ED-736B9BBD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4C57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4C57"/>
      <w:sz w:val="30"/>
      <w:szCs w:val="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4C57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4C57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0708E"/>
      <w:sz w:val="18"/>
      <w:szCs w:val="1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0708E"/>
      <w:w w:val="7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09" w:lineRule="auto"/>
    </w:pPr>
    <w:rPr>
      <w:rFonts w:ascii="Arial" w:eastAsia="Arial" w:hAnsi="Arial" w:cs="Arial"/>
      <w:sz w:val="10"/>
      <w:szCs w:val="10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  <w:color w:val="3A4C57"/>
      <w:sz w:val="20"/>
      <w:szCs w:val="20"/>
    </w:rPr>
  </w:style>
  <w:style w:type="paragraph" w:customStyle="1" w:styleId="Tiu10">
    <w:name w:val="Tiêu đề #1"/>
    <w:basedOn w:val="Normal"/>
    <w:link w:val="Tiu1"/>
    <w:pPr>
      <w:ind w:firstLine="760"/>
      <w:outlineLvl w:val="0"/>
    </w:pPr>
    <w:rPr>
      <w:rFonts w:ascii="Times New Roman" w:eastAsia="Times New Roman" w:hAnsi="Times New Roman" w:cs="Times New Roman"/>
      <w:b/>
      <w:bCs/>
      <w:color w:val="3A4C57"/>
      <w:sz w:val="30"/>
      <w:szCs w:val="3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color w:val="3A4C57"/>
      <w:sz w:val="20"/>
      <w:szCs w:val="20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color w:val="3A4C57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62" w:lineRule="auto"/>
    </w:pPr>
    <w:rPr>
      <w:rFonts w:ascii="Arial" w:eastAsia="Arial" w:hAnsi="Arial" w:cs="Arial"/>
      <w:b/>
      <w:bCs/>
      <w:color w:val="E0708E"/>
      <w:sz w:val="18"/>
      <w:szCs w:val="18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  <w:color w:val="E0708E"/>
      <w:w w:val="70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7YwsKlPwuGOJgxzA0RrWDvTf0A==">CgMxLjAyCGguZ2pkZ3hzOAByITFpVTJiY2s1RnN6d3hkTFQySnBMY2toMWZrZ2czaGNXag==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3</cp:revision>
  <dcterms:created xsi:type="dcterms:W3CDTF">2024-02-16T12:32:00Z</dcterms:created>
  <dcterms:modified xsi:type="dcterms:W3CDTF">2024-02-16T16:37:00Z</dcterms:modified>
</cp:coreProperties>
</file>