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E6158" w14:textId="77777777" w:rsidR="00642B57" w:rsidRPr="00221854" w:rsidRDefault="00221854" w:rsidP="00F41D9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221854">
        <w:rPr>
          <w:rFonts w:ascii="Arial" w:hAnsi="Arial" w:cs="Arial"/>
          <w:b/>
          <w:sz w:val="20"/>
          <w:szCs w:val="20"/>
        </w:rPr>
        <w:t>VPW: Annual Corporate Governance Report 2022</w:t>
      </w:r>
    </w:p>
    <w:p w14:paraId="330921A5" w14:textId="33A3B53F" w:rsidR="00642B57" w:rsidRPr="00221854" w:rsidRDefault="00221854" w:rsidP="00F41D9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 xml:space="preserve">On January 26, 2024, </w:t>
      </w:r>
      <w:proofErr w:type="spellStart"/>
      <w:r w:rsidRPr="00221854">
        <w:rPr>
          <w:rFonts w:ascii="Arial" w:hAnsi="Arial" w:cs="Arial"/>
          <w:sz w:val="20"/>
          <w:szCs w:val="20"/>
        </w:rPr>
        <w:t>Vinh</w:t>
      </w:r>
      <w:proofErr w:type="spellEnd"/>
      <w:r w:rsidRPr="002218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1854">
        <w:rPr>
          <w:rFonts w:ascii="Arial" w:hAnsi="Arial" w:cs="Arial"/>
          <w:sz w:val="20"/>
          <w:szCs w:val="20"/>
        </w:rPr>
        <w:t>Phuc</w:t>
      </w:r>
      <w:proofErr w:type="spellEnd"/>
      <w:r w:rsidRPr="00221854">
        <w:rPr>
          <w:rFonts w:ascii="Arial" w:hAnsi="Arial" w:cs="Arial"/>
          <w:sz w:val="20"/>
          <w:szCs w:val="20"/>
        </w:rPr>
        <w:t xml:space="preserve"> No1 Water Supply and Drai</w:t>
      </w:r>
      <w:r w:rsidR="00F41D9D">
        <w:rPr>
          <w:rFonts w:ascii="Arial" w:hAnsi="Arial" w:cs="Arial"/>
          <w:sz w:val="20"/>
          <w:szCs w:val="20"/>
        </w:rPr>
        <w:t>nage JSC announced Report No. 30</w:t>
      </w:r>
      <w:r w:rsidRPr="00221854">
        <w:rPr>
          <w:rFonts w:ascii="Arial" w:hAnsi="Arial" w:cs="Arial"/>
          <w:sz w:val="20"/>
          <w:szCs w:val="20"/>
        </w:rPr>
        <w:t>/BC-CTN1 on corporate governance as follows:</w:t>
      </w:r>
    </w:p>
    <w:p w14:paraId="005C8505" w14:textId="77777777" w:rsidR="00642B57" w:rsidRPr="00221854" w:rsidRDefault="00221854" w:rsidP="00F41D9D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78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 xml:space="preserve">Name of company: </w:t>
      </w:r>
      <w:proofErr w:type="spellStart"/>
      <w:r w:rsidRPr="00221854">
        <w:rPr>
          <w:rFonts w:ascii="Arial" w:hAnsi="Arial" w:cs="Arial"/>
          <w:sz w:val="20"/>
          <w:szCs w:val="20"/>
        </w:rPr>
        <w:t>Vinh</w:t>
      </w:r>
      <w:proofErr w:type="spellEnd"/>
      <w:r w:rsidRPr="002218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1854">
        <w:rPr>
          <w:rFonts w:ascii="Arial" w:hAnsi="Arial" w:cs="Arial"/>
          <w:sz w:val="20"/>
          <w:szCs w:val="20"/>
        </w:rPr>
        <w:t>Phuc</w:t>
      </w:r>
      <w:proofErr w:type="spellEnd"/>
      <w:r w:rsidRPr="00221854">
        <w:rPr>
          <w:rFonts w:ascii="Arial" w:hAnsi="Arial" w:cs="Arial"/>
          <w:sz w:val="20"/>
          <w:szCs w:val="20"/>
        </w:rPr>
        <w:t xml:space="preserve"> No1 Water Supply and Drainage JSC</w:t>
      </w:r>
    </w:p>
    <w:p w14:paraId="7867CEA1" w14:textId="77777777" w:rsidR="00642B57" w:rsidRPr="00221854" w:rsidRDefault="00221854" w:rsidP="00F41D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78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 xml:space="preserve">Head office address: No. 14, Ly Bon Street, Ngo Quyen Ward, Vinh Yen City, </w:t>
      </w:r>
      <w:proofErr w:type="spellStart"/>
      <w:r w:rsidRPr="00221854">
        <w:rPr>
          <w:rFonts w:ascii="Arial" w:hAnsi="Arial" w:cs="Arial"/>
          <w:sz w:val="20"/>
          <w:szCs w:val="20"/>
        </w:rPr>
        <w:t>Vinh</w:t>
      </w:r>
      <w:proofErr w:type="spellEnd"/>
      <w:r w:rsidRPr="002218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1854">
        <w:rPr>
          <w:rFonts w:ascii="Arial" w:hAnsi="Arial" w:cs="Arial"/>
          <w:sz w:val="20"/>
          <w:szCs w:val="20"/>
        </w:rPr>
        <w:t>Phuc</w:t>
      </w:r>
      <w:proofErr w:type="spellEnd"/>
      <w:r w:rsidRPr="00221854">
        <w:rPr>
          <w:rFonts w:ascii="Arial" w:hAnsi="Arial" w:cs="Arial"/>
          <w:sz w:val="20"/>
          <w:szCs w:val="20"/>
        </w:rPr>
        <w:t xml:space="preserve"> Province</w:t>
      </w:r>
    </w:p>
    <w:p w14:paraId="416EF113" w14:textId="77777777" w:rsidR="00642B57" w:rsidRPr="00221854" w:rsidRDefault="00221854" w:rsidP="00F41D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78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 xml:space="preserve">Tel: 02113861229 Fax: Fax: 02113860 493 </w:t>
      </w:r>
      <w:hyperlink r:id="rId6">
        <w:r w:rsidRPr="00221854">
          <w:rPr>
            <w:rFonts w:ascii="Arial" w:hAnsi="Arial" w:cs="Arial"/>
            <w:sz w:val="20"/>
            <w:szCs w:val="20"/>
          </w:rPr>
          <w:t>vinhphucwater@gmail.com</w:t>
        </w:r>
      </w:hyperlink>
    </w:p>
    <w:p w14:paraId="58232E0F" w14:textId="77777777" w:rsidR="00642B57" w:rsidRPr="00221854" w:rsidRDefault="00221854" w:rsidP="00F41D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76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 xml:space="preserve">Charter capital: VND 111,686,760,000 </w:t>
      </w:r>
    </w:p>
    <w:p w14:paraId="58AACC37" w14:textId="77777777" w:rsidR="00642B57" w:rsidRPr="00221854" w:rsidRDefault="00221854" w:rsidP="00F41D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78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>Securities code: VPW</w:t>
      </w:r>
    </w:p>
    <w:p w14:paraId="2B6940DC" w14:textId="09E5C930" w:rsidR="00642B57" w:rsidRPr="00221854" w:rsidRDefault="00221854" w:rsidP="00F41D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76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 xml:space="preserve">Corporate Governance Model: The </w:t>
      </w:r>
      <w:r w:rsidR="00F41D9D">
        <w:rPr>
          <w:rFonts w:ascii="Arial" w:hAnsi="Arial" w:cs="Arial"/>
          <w:sz w:val="20"/>
          <w:szCs w:val="20"/>
        </w:rPr>
        <w:t xml:space="preserve">General </w:t>
      </w:r>
      <w:proofErr w:type="spellStart"/>
      <w:proofErr w:type="gramStart"/>
      <w:r w:rsidR="00F41D9D">
        <w:rPr>
          <w:rFonts w:ascii="Arial" w:hAnsi="Arial" w:cs="Arial"/>
          <w:sz w:val="20"/>
          <w:szCs w:val="20"/>
        </w:rPr>
        <w:t>Meeting,Board</w:t>
      </w:r>
      <w:proofErr w:type="spellEnd"/>
      <w:proofErr w:type="gramEnd"/>
      <w:r w:rsidR="00F41D9D">
        <w:rPr>
          <w:rFonts w:ascii="Arial" w:hAnsi="Arial" w:cs="Arial"/>
          <w:sz w:val="20"/>
          <w:szCs w:val="20"/>
        </w:rPr>
        <w:t xml:space="preserve"> of Directors, Supervisory Board and Managing Director</w:t>
      </w:r>
      <w:r w:rsidRPr="00221854">
        <w:rPr>
          <w:rFonts w:ascii="Arial" w:hAnsi="Arial" w:cs="Arial"/>
          <w:sz w:val="20"/>
          <w:szCs w:val="20"/>
        </w:rPr>
        <w:t>.</w:t>
      </w:r>
    </w:p>
    <w:p w14:paraId="7FE9FA74" w14:textId="661E7DC2" w:rsidR="00642B57" w:rsidRPr="00221854" w:rsidRDefault="00221854" w:rsidP="00F41D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78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>Internal audit: Unimplemented.</w:t>
      </w:r>
    </w:p>
    <w:p w14:paraId="4E3A3FBB" w14:textId="37DE758D" w:rsidR="00642B57" w:rsidRPr="00221854" w:rsidRDefault="00221854" w:rsidP="00F41D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85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 xml:space="preserve">Activities of the </w:t>
      </w:r>
      <w:r w:rsidR="00F41D9D">
        <w:rPr>
          <w:rFonts w:ascii="Arial" w:hAnsi="Arial" w:cs="Arial"/>
          <w:sz w:val="20"/>
          <w:szCs w:val="20"/>
        </w:rPr>
        <w:t>General Meeting</w:t>
      </w:r>
      <w:r w:rsidRPr="00221854">
        <w:rPr>
          <w:rFonts w:ascii="Arial" w:hAnsi="Arial" w:cs="Arial"/>
          <w:sz w:val="20"/>
          <w:szCs w:val="20"/>
        </w:rPr>
        <w:t>:</w:t>
      </w:r>
    </w:p>
    <w:p w14:paraId="2BABD20F" w14:textId="2D6DBDFE" w:rsidR="00642B57" w:rsidRPr="00221854" w:rsidRDefault="00221854" w:rsidP="00F41D9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 xml:space="preserve">Information about meetings and General Mandates/Decisions of the </w:t>
      </w:r>
      <w:r w:rsidR="00F41D9D">
        <w:rPr>
          <w:rFonts w:ascii="Arial" w:hAnsi="Arial" w:cs="Arial"/>
          <w:sz w:val="20"/>
          <w:szCs w:val="20"/>
        </w:rPr>
        <w:t>General Meeting</w:t>
      </w:r>
      <w:r w:rsidRPr="00221854">
        <w:rPr>
          <w:rFonts w:ascii="Arial" w:hAnsi="Arial" w:cs="Arial"/>
          <w:sz w:val="20"/>
          <w:szCs w:val="20"/>
        </w:rPr>
        <w:t xml:space="preserve"> (including General Mandates approved by collecting </w:t>
      </w:r>
      <w:r w:rsidR="00F41D9D">
        <w:rPr>
          <w:rFonts w:ascii="Arial" w:hAnsi="Arial" w:cs="Arial"/>
          <w:sz w:val="20"/>
          <w:szCs w:val="20"/>
        </w:rPr>
        <w:t>ballots</w:t>
      </w:r>
      <w:r w:rsidRPr="00221854">
        <w:rPr>
          <w:rFonts w:ascii="Arial" w:hAnsi="Arial" w:cs="Arial"/>
          <w:sz w:val="20"/>
          <w:szCs w:val="20"/>
        </w:rPr>
        <w:t>)</w:t>
      </w:r>
    </w:p>
    <w:tbl>
      <w:tblPr>
        <w:tblStyle w:val="a"/>
        <w:tblW w:w="13948" w:type="dxa"/>
        <w:tblLayout w:type="fixed"/>
        <w:tblLook w:val="0000" w:firstRow="0" w:lastRow="0" w:firstColumn="0" w:lastColumn="0" w:noHBand="0" w:noVBand="0"/>
      </w:tblPr>
      <w:tblGrid>
        <w:gridCol w:w="1038"/>
        <w:gridCol w:w="4313"/>
        <w:gridCol w:w="1905"/>
        <w:gridCol w:w="6692"/>
      </w:tblGrid>
      <w:tr w:rsidR="00642B57" w:rsidRPr="00221854" w14:paraId="36C348FC" w14:textId="77777777">
        <w:trPr>
          <w:trHeight w:val="47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9A65D37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530A07" w14:textId="433CE7E9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General Mandate/Decision of the </w:t>
            </w:r>
            <w:r w:rsidR="00F41D9D">
              <w:rPr>
                <w:rFonts w:ascii="Arial" w:hAnsi="Arial" w:cs="Arial"/>
                <w:sz w:val="20"/>
                <w:szCs w:val="20"/>
              </w:rPr>
              <w:t>General Meeting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2B4A2E8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DA7B90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Contents</w:t>
            </w:r>
          </w:p>
        </w:tc>
      </w:tr>
      <w:tr w:rsidR="00642B57" w:rsidRPr="00221854" w14:paraId="5DDB4EA7" w14:textId="77777777">
        <w:trPr>
          <w:trHeight w:val="12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CD3C72E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38D3588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01/NQ-DHDCD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B4B8C21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April 19, 2023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C4BB324" w14:textId="6EFA683C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The Annual </w:t>
            </w:r>
            <w:r w:rsidR="00F41D9D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221854">
              <w:rPr>
                <w:rFonts w:ascii="Arial" w:hAnsi="Arial" w:cs="Arial"/>
                <w:sz w:val="20"/>
                <w:szCs w:val="20"/>
              </w:rPr>
              <w:t xml:space="preserve"> 2023 dated April 19, 2023 approved the following contents:</w:t>
            </w:r>
          </w:p>
          <w:p w14:paraId="5F244E28" w14:textId="77777777" w:rsidR="00642B57" w:rsidRPr="00221854" w:rsidRDefault="00221854" w:rsidP="004473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Approve the Report of the Board of Directors evaluating the implementation of the tasks of the Board of Directors in 2022.</w:t>
            </w:r>
          </w:p>
          <w:p w14:paraId="0ED74BD2" w14:textId="77777777" w:rsidR="00642B57" w:rsidRPr="00221854" w:rsidRDefault="00221854" w:rsidP="004473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Approve the orientation and missions of the Board of Directors for 2023.</w:t>
            </w:r>
          </w:p>
          <w:p w14:paraId="7484715B" w14:textId="4AFFEF57" w:rsidR="00642B57" w:rsidRPr="00221854" w:rsidRDefault="00221854" w:rsidP="004473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Approve the Report on the Activities of the Supervisory Board presented </w:t>
            </w:r>
            <w:r w:rsidRPr="00221854">
              <w:rPr>
                <w:rFonts w:ascii="Arial" w:hAnsi="Arial" w:cs="Arial"/>
                <w:sz w:val="20"/>
                <w:szCs w:val="20"/>
              </w:rPr>
              <w:lastRenderedPageBreak/>
              <w:t xml:space="preserve">at the Annual </w:t>
            </w:r>
            <w:r w:rsidR="00F41D9D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221854">
              <w:rPr>
                <w:rFonts w:ascii="Arial" w:hAnsi="Arial" w:cs="Arial"/>
                <w:sz w:val="20"/>
                <w:szCs w:val="20"/>
              </w:rPr>
              <w:t xml:space="preserve"> for the year 2023.</w:t>
            </w:r>
          </w:p>
          <w:p w14:paraId="17FDA77F" w14:textId="77777777" w:rsidR="00642B57" w:rsidRPr="00221854" w:rsidRDefault="00221854" w:rsidP="004473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Approve the Report of the Board of Management on the production and business results in 2022 and the production and business plan for 2023.</w:t>
            </w:r>
          </w:p>
          <w:p w14:paraId="790F7B4A" w14:textId="11FA7157" w:rsidR="00642B57" w:rsidRPr="00221854" w:rsidRDefault="00221854" w:rsidP="004473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Approve th</w:t>
            </w:r>
            <w:r w:rsidR="00F41D9D">
              <w:rPr>
                <w:rFonts w:ascii="Arial" w:hAnsi="Arial" w:cs="Arial"/>
                <w:sz w:val="20"/>
                <w:szCs w:val="20"/>
              </w:rPr>
              <w:t>e Audited Financial Statements</w:t>
            </w:r>
            <w:r w:rsidRPr="00221854">
              <w:rPr>
                <w:rFonts w:ascii="Arial" w:hAnsi="Arial" w:cs="Arial"/>
                <w:sz w:val="20"/>
                <w:szCs w:val="20"/>
              </w:rPr>
              <w:t xml:space="preserve"> 2022 as per Proposal No. 35/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TTr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>-HDQT dated March 29, 2023.</w:t>
            </w:r>
          </w:p>
          <w:p w14:paraId="61F9C303" w14:textId="77777777" w:rsidR="00642B57" w:rsidRPr="00221854" w:rsidRDefault="00221854" w:rsidP="004473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Approve the Profit Distribution Plan of 2022 as per Proposal No. 36/CTN1-HDQT dated March 29, 2023.</w:t>
            </w:r>
          </w:p>
          <w:p w14:paraId="45BB311E" w14:textId="77777777" w:rsidR="00642B57" w:rsidRPr="00221854" w:rsidRDefault="00221854" w:rsidP="004473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Approve the Proposal for Remuneration of the Board of Directors and the Supervisory Board for the year 2023 as per Proposal No. 37/CTN1-HDQT dated March 29, 2023.</w:t>
            </w:r>
          </w:p>
          <w:p w14:paraId="39581C5F" w14:textId="783BE94A" w:rsidR="00642B57" w:rsidRPr="00221854" w:rsidRDefault="00221854" w:rsidP="004473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Approve the selection of an independent Audit Company to conduct the audit of the Com</w:t>
            </w:r>
            <w:r w:rsidR="00F41D9D">
              <w:rPr>
                <w:rFonts w:ascii="Arial" w:hAnsi="Arial" w:cs="Arial"/>
                <w:sz w:val="20"/>
                <w:szCs w:val="20"/>
              </w:rPr>
              <w:t xml:space="preserve">pany's Financial Statements </w:t>
            </w:r>
            <w:r w:rsidRPr="00221854">
              <w:rPr>
                <w:rFonts w:ascii="Arial" w:hAnsi="Arial" w:cs="Arial"/>
                <w:sz w:val="20"/>
                <w:szCs w:val="20"/>
              </w:rPr>
              <w:t>2023 as per Proposal No. 38/CTN1-H</w:t>
            </w:r>
            <w:r w:rsidR="000150A0" w:rsidRPr="00221854">
              <w:rPr>
                <w:rFonts w:ascii="Arial" w:hAnsi="Arial" w:cs="Arial"/>
                <w:sz w:val="20"/>
                <w:szCs w:val="20"/>
              </w:rPr>
              <w:t>D</w:t>
            </w:r>
            <w:r w:rsidRPr="00221854">
              <w:rPr>
                <w:rFonts w:ascii="Arial" w:hAnsi="Arial" w:cs="Arial"/>
                <w:sz w:val="20"/>
                <w:szCs w:val="20"/>
              </w:rPr>
              <w:t>QT dated March 29, 2023.</w:t>
            </w:r>
          </w:p>
          <w:p w14:paraId="04454580" w14:textId="77777777" w:rsidR="00642B57" w:rsidRPr="00221854" w:rsidRDefault="00221854" w:rsidP="004473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Approve the amendment and supplementation of the Organization and Operation Charter of the Company as per Proposal No. 39/CTN1-HDQT dated March 29, 2023.</w:t>
            </w:r>
          </w:p>
          <w:p w14:paraId="708802EF" w14:textId="77777777" w:rsidR="00642B57" w:rsidRPr="00221854" w:rsidRDefault="00221854" w:rsidP="004473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Approve the amendment and supplementation of the Internal Regulations on corporate governance as per Proposal No. 40/CTN1-HDQT dated March 29, 2023.</w:t>
            </w:r>
          </w:p>
          <w:p w14:paraId="2CE576F2" w14:textId="77777777" w:rsidR="00642B57" w:rsidRPr="00221854" w:rsidRDefault="00221854" w:rsidP="004473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"/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Approve the adjustment of the Company's business lines as per Proposal No. 41/CTN1-HDQT dated March 29, 2023.</w:t>
            </w:r>
          </w:p>
          <w:p w14:paraId="7A10FFF2" w14:textId="77777777" w:rsidR="00642B57" w:rsidRPr="00221854" w:rsidRDefault="00221854" w:rsidP="004473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Approve the maximum foreign ownership rate and the supplementation of </w:t>
            </w:r>
            <w:r w:rsidRPr="00221854">
              <w:rPr>
                <w:rFonts w:ascii="Arial" w:hAnsi="Arial" w:cs="Arial"/>
                <w:sz w:val="20"/>
                <w:szCs w:val="20"/>
              </w:rPr>
              <w:lastRenderedPageBreak/>
              <w:t>the Company's Charter as per Proposal No. 42/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TTr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>-HDQT dated March 29, 2023.</w:t>
            </w:r>
          </w:p>
          <w:p w14:paraId="41FB398B" w14:textId="458E3BEF" w:rsidR="00642B57" w:rsidRPr="00221854" w:rsidRDefault="00221854" w:rsidP="004473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Approve the approval of contracts/transactions between the company and related parties as per Proposal No. 52/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TTr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>-HDQT dated April 12, 2023.</w:t>
            </w:r>
          </w:p>
        </w:tc>
      </w:tr>
    </w:tbl>
    <w:p w14:paraId="66ABDF92" w14:textId="27BF3032" w:rsidR="00642B57" w:rsidRPr="00221854" w:rsidRDefault="00221854" w:rsidP="004473A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lastRenderedPageBreak/>
        <w:t>Board of Directors (Annual Report 2023)</w:t>
      </w:r>
    </w:p>
    <w:p w14:paraId="05BFD012" w14:textId="63B68332" w:rsidR="00642B57" w:rsidRPr="00221854" w:rsidRDefault="00221854" w:rsidP="004473A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>Information about members of the Board of Directors:</w:t>
      </w:r>
    </w:p>
    <w:tbl>
      <w:tblPr>
        <w:tblStyle w:val="a0"/>
        <w:tblW w:w="13948" w:type="dxa"/>
        <w:tblLayout w:type="fixed"/>
        <w:tblLook w:val="0000" w:firstRow="0" w:lastRow="0" w:firstColumn="0" w:lastColumn="0" w:noHBand="0" w:noVBand="0"/>
      </w:tblPr>
      <w:tblGrid>
        <w:gridCol w:w="1014"/>
        <w:gridCol w:w="4063"/>
        <w:gridCol w:w="3353"/>
        <w:gridCol w:w="2851"/>
        <w:gridCol w:w="2667"/>
      </w:tblGrid>
      <w:tr w:rsidR="00642B57" w:rsidRPr="00221854" w14:paraId="07727275" w14:textId="77777777">
        <w:trPr>
          <w:trHeight w:val="686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9DF172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8447104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Members of the Board of Directors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4B06EAF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Position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F930D4F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Date of appointment/dismissal as member of the Board of Directors</w:t>
            </w:r>
          </w:p>
        </w:tc>
      </w:tr>
      <w:tr w:rsidR="00642B57" w:rsidRPr="00221854" w14:paraId="5F16C91A" w14:textId="77777777">
        <w:trPr>
          <w:trHeight w:val="624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C9DB56A" w14:textId="77777777" w:rsidR="00642B57" w:rsidRPr="00221854" w:rsidRDefault="00642B57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9458537" w14:textId="77777777" w:rsidR="00642B57" w:rsidRPr="00221854" w:rsidRDefault="00642B57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14636C" w14:textId="77777777" w:rsidR="00642B57" w:rsidRPr="00221854" w:rsidRDefault="00642B57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371B46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Appointment date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51E1BA1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Dismissal date</w:t>
            </w:r>
          </w:p>
        </w:tc>
      </w:tr>
      <w:tr w:rsidR="00642B57" w:rsidRPr="00221854" w14:paraId="1006B0FD" w14:textId="77777777">
        <w:trPr>
          <w:trHeight w:val="51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82DCD94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346627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Mr. Do Thanh Hai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3FD9A2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Chair of the Board of Directors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D8CF22C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April 25, 2019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3333F0C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2B57" w:rsidRPr="00221854" w14:paraId="5AE45634" w14:textId="77777777">
        <w:trPr>
          <w:trHeight w:val="51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BC096AD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6615099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Mr. Nguyen Van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5DF132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Vice Chair of the Board of Directors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FAEF6C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April 25, 2019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BFB735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2B57" w:rsidRPr="00221854" w14:paraId="6DF6C1CC" w14:textId="77777777">
        <w:trPr>
          <w:trHeight w:val="51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CBDC97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BDA3C36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Ms. Le Thi Kim Thanh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E44B5AB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Member of the Board of Directors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CFA10A0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April 25, 2019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05CAA1C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2B57" w:rsidRPr="00221854" w14:paraId="60D5E8A9" w14:textId="77777777">
        <w:trPr>
          <w:trHeight w:val="51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E758FD8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F1C1820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Mr. Tran Duy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Thap</w:t>
            </w:r>
            <w:proofErr w:type="spellEnd"/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3D6687B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Member of the Board of Directors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372FD0A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April 25, 2019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6257FB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2B57" w:rsidRPr="00221854" w14:paraId="4FC23571" w14:textId="77777777">
        <w:trPr>
          <w:trHeight w:val="52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94B893E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DCCDF1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Ninh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Duy Giang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D555C9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Members of the Board of Directors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9490BE9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April 20, 2022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25AC847" w14:textId="77777777" w:rsidR="00642B57" w:rsidRPr="00221854" w:rsidRDefault="00642B57" w:rsidP="004473A5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F3F9FF" w14:textId="0E92C661" w:rsidR="00642B57" w:rsidRPr="00221854" w:rsidRDefault="00221854" w:rsidP="004473A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>Board Resolutions/</w:t>
      </w:r>
      <w:r w:rsidR="0014357A" w:rsidRPr="00221854">
        <w:rPr>
          <w:rFonts w:ascii="Arial" w:hAnsi="Arial" w:cs="Arial"/>
          <w:sz w:val="20"/>
          <w:szCs w:val="20"/>
        </w:rPr>
        <w:t xml:space="preserve">Board </w:t>
      </w:r>
      <w:r w:rsidRPr="00221854">
        <w:rPr>
          <w:rFonts w:ascii="Arial" w:hAnsi="Arial" w:cs="Arial"/>
          <w:sz w:val="20"/>
          <w:szCs w:val="20"/>
        </w:rPr>
        <w:t>Decisions (Annual Report 2023):</w:t>
      </w: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3498"/>
        <w:gridCol w:w="2338"/>
        <w:gridCol w:w="6851"/>
      </w:tblGrid>
      <w:tr w:rsidR="004473A5" w:rsidRPr="00221854" w14:paraId="35695E05" w14:textId="77777777" w:rsidTr="004473A5">
        <w:trPr>
          <w:trHeight w:val="662"/>
        </w:trPr>
        <w:tc>
          <w:tcPr>
            <w:tcW w:w="45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6CAA28C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No.</w:t>
            </w:r>
          </w:p>
        </w:tc>
        <w:tc>
          <w:tcPr>
            <w:tcW w:w="1254" w:type="pct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6CAB8E4" w14:textId="66F34761" w:rsidR="004473A5" w:rsidRPr="00221854" w:rsidRDefault="00F41D9D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Resolution/Decision </w:t>
            </w:r>
          </w:p>
        </w:tc>
        <w:tc>
          <w:tcPr>
            <w:tcW w:w="83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23C91D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5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9E71F8C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Contents</w:t>
            </w:r>
          </w:p>
        </w:tc>
      </w:tr>
      <w:tr w:rsidR="004473A5" w:rsidRPr="00221854" w14:paraId="548E66FF" w14:textId="77777777" w:rsidTr="004473A5">
        <w:trPr>
          <w:trHeight w:val="850"/>
        </w:trPr>
        <w:tc>
          <w:tcPr>
            <w:tcW w:w="45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48B012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1</w:t>
            </w:r>
          </w:p>
        </w:tc>
        <w:tc>
          <w:tcPr>
            <w:tcW w:w="125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D977C9A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01/QD-HDQT</w:t>
            </w:r>
          </w:p>
        </w:tc>
        <w:tc>
          <w:tcPr>
            <w:tcW w:w="83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940686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January 16, 2023</w:t>
            </w:r>
          </w:p>
        </w:tc>
        <w:tc>
          <w:tcPr>
            <w:tcW w:w="245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4CB0FB5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On the appointment of the company's person in charge of corporate governance</w:t>
            </w:r>
          </w:p>
        </w:tc>
      </w:tr>
      <w:tr w:rsidR="004473A5" w:rsidRPr="00221854" w14:paraId="21076CA4" w14:textId="77777777" w:rsidTr="004473A5">
        <w:trPr>
          <w:trHeight w:val="850"/>
        </w:trPr>
        <w:tc>
          <w:tcPr>
            <w:tcW w:w="45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121F86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lastRenderedPageBreak/>
              <w:t>2</w:t>
            </w:r>
          </w:p>
        </w:tc>
        <w:tc>
          <w:tcPr>
            <w:tcW w:w="125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0503E2F" w14:textId="33AD9E8D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02/CTN1-NQ-H</w:t>
            </w:r>
            <w:r w:rsidR="000150A0" w:rsidRPr="00221854">
              <w:rPr>
                <w:rFonts w:ascii="Arial" w:hAnsi="Arial" w:cs="Arial"/>
                <w:sz w:val="20"/>
                <w:szCs w:val="20"/>
              </w:rPr>
              <w:t>D</w:t>
            </w:r>
            <w:r w:rsidRPr="00221854">
              <w:rPr>
                <w:rFonts w:ascii="Arial" w:hAnsi="Arial" w:cs="Arial"/>
                <w:sz w:val="20"/>
                <w:szCs w:val="20"/>
              </w:rPr>
              <w:t>QT</w:t>
            </w:r>
          </w:p>
        </w:tc>
        <w:tc>
          <w:tcPr>
            <w:tcW w:w="83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6E5723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February 23, 2023</w:t>
            </w:r>
          </w:p>
        </w:tc>
        <w:tc>
          <w:tcPr>
            <w:tcW w:w="245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11186D2" w14:textId="3F8034E7" w:rsidR="004473A5" w:rsidRPr="00221854" w:rsidRDefault="004473A5" w:rsidP="00F41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On the approval of the </w:t>
            </w:r>
            <w:r w:rsidR="00F41D9D">
              <w:rPr>
                <w:rFonts w:ascii="Arial" w:hAnsi="Arial" w:cs="Arial"/>
                <w:sz w:val="20"/>
                <w:szCs w:val="20"/>
              </w:rPr>
              <w:t>convening</w:t>
            </w:r>
            <w:r w:rsidRPr="00221854">
              <w:rPr>
                <w:rFonts w:ascii="Arial" w:hAnsi="Arial" w:cs="Arial"/>
                <w:sz w:val="20"/>
                <w:szCs w:val="20"/>
              </w:rPr>
              <w:t xml:space="preserve"> plan for the Annual </w:t>
            </w:r>
            <w:r w:rsidR="00F41D9D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221854">
              <w:rPr>
                <w:rFonts w:ascii="Arial" w:hAnsi="Arial" w:cs="Arial"/>
                <w:sz w:val="20"/>
                <w:szCs w:val="20"/>
              </w:rPr>
              <w:t xml:space="preserve"> for the year 2023</w:t>
            </w:r>
          </w:p>
        </w:tc>
      </w:tr>
      <w:tr w:rsidR="004473A5" w:rsidRPr="00221854" w14:paraId="2AD913B9" w14:textId="77777777" w:rsidTr="004473A5">
        <w:trPr>
          <w:trHeight w:val="1445"/>
        </w:trPr>
        <w:tc>
          <w:tcPr>
            <w:tcW w:w="45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4DFA453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2AFC857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02.1/NQ-HDQT</w:t>
            </w:r>
          </w:p>
        </w:tc>
        <w:tc>
          <w:tcPr>
            <w:tcW w:w="83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CA57052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March 15, 2023</w:t>
            </w:r>
          </w:p>
        </w:tc>
        <w:tc>
          <w:tcPr>
            <w:tcW w:w="245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1D2D4E7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On personnel completion at the departmental level, organization plan for the 60th anniversary of the company's establishment, organization plan for the Trade Union Congress term 2023-2028, and other issues</w:t>
            </w:r>
          </w:p>
        </w:tc>
      </w:tr>
      <w:tr w:rsidR="004473A5" w:rsidRPr="00221854" w14:paraId="5288998A" w14:textId="77777777" w:rsidTr="004473A5">
        <w:trPr>
          <w:trHeight w:val="917"/>
        </w:trPr>
        <w:tc>
          <w:tcPr>
            <w:tcW w:w="45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D675B3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6E3789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03.1/NQ-HDQT</w:t>
            </w:r>
          </w:p>
        </w:tc>
        <w:tc>
          <w:tcPr>
            <w:tcW w:w="83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553EA4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April 10, 2023</w:t>
            </w:r>
          </w:p>
        </w:tc>
        <w:tc>
          <w:tcPr>
            <w:tcW w:w="2457" w:type="pct"/>
            <w:shd w:val="clear" w:color="auto" w:fill="FFFFFF"/>
            <w:tcMar>
              <w:top w:w="0" w:type="dxa"/>
              <w:bottom w:w="0" w:type="dxa"/>
            </w:tcMar>
          </w:tcPr>
          <w:p w14:paraId="4650D213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On personnel completion at the departmental level, organization plan for company-wide staff visits, and other issues</w:t>
            </w:r>
          </w:p>
        </w:tc>
      </w:tr>
      <w:tr w:rsidR="004473A5" w:rsidRPr="00221854" w14:paraId="300DAEAF" w14:textId="77777777" w:rsidTr="004473A5">
        <w:trPr>
          <w:trHeight w:val="1176"/>
        </w:trPr>
        <w:tc>
          <w:tcPr>
            <w:tcW w:w="45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D772A75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FA4B6DA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03/ CTN-NQ-HDQT</w:t>
            </w:r>
          </w:p>
        </w:tc>
        <w:tc>
          <w:tcPr>
            <w:tcW w:w="83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D0795B3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April 24, 2023</w:t>
            </w:r>
          </w:p>
        </w:tc>
        <w:tc>
          <w:tcPr>
            <w:tcW w:w="2457" w:type="pct"/>
            <w:shd w:val="clear" w:color="auto" w:fill="FFFFFF"/>
            <w:tcMar>
              <w:top w:w="0" w:type="dxa"/>
              <w:bottom w:w="0" w:type="dxa"/>
            </w:tcMar>
          </w:tcPr>
          <w:p w14:paraId="1706B8F7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On the promulgation of amended and supplemented Charters and Internal Regulations on Corporate Governance of No. 1 Water Supply and Sewerage Company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</w:p>
        </w:tc>
      </w:tr>
      <w:tr w:rsidR="004473A5" w:rsidRPr="00221854" w14:paraId="0D0AEB06" w14:textId="77777777" w:rsidTr="004473A5">
        <w:trPr>
          <w:trHeight w:val="1238"/>
        </w:trPr>
        <w:tc>
          <w:tcPr>
            <w:tcW w:w="45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7F34884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B31BABB" w14:textId="22B7CA79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04/CTN1-NQ-H</w:t>
            </w:r>
            <w:r w:rsidR="000150A0" w:rsidRPr="00221854">
              <w:rPr>
                <w:rFonts w:ascii="Arial" w:hAnsi="Arial" w:cs="Arial"/>
                <w:sz w:val="20"/>
                <w:szCs w:val="20"/>
              </w:rPr>
              <w:t>D</w:t>
            </w:r>
            <w:r w:rsidRPr="00221854">
              <w:rPr>
                <w:rFonts w:ascii="Arial" w:hAnsi="Arial" w:cs="Arial"/>
                <w:sz w:val="20"/>
                <w:szCs w:val="20"/>
              </w:rPr>
              <w:t>QT</w:t>
            </w:r>
          </w:p>
        </w:tc>
        <w:tc>
          <w:tcPr>
            <w:tcW w:w="83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DD57C69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June 19, 2023</w:t>
            </w:r>
          </w:p>
        </w:tc>
        <w:tc>
          <w:tcPr>
            <w:tcW w:w="2457" w:type="pct"/>
            <w:shd w:val="clear" w:color="auto" w:fill="FFFFFF"/>
            <w:tcMar>
              <w:top w:w="0" w:type="dxa"/>
              <w:bottom w:w="0" w:type="dxa"/>
            </w:tcMar>
          </w:tcPr>
          <w:p w14:paraId="3212B850" w14:textId="01D4ECCF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On the implementation of dividend payment for the year 2022 in cash according to the profit distribution plan approved by the Annual </w:t>
            </w:r>
            <w:r w:rsidR="00F41D9D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221854">
              <w:rPr>
                <w:rFonts w:ascii="Arial" w:hAnsi="Arial" w:cs="Arial"/>
                <w:sz w:val="20"/>
                <w:szCs w:val="20"/>
              </w:rPr>
              <w:t xml:space="preserve"> for the year 2023</w:t>
            </w:r>
          </w:p>
        </w:tc>
      </w:tr>
      <w:tr w:rsidR="004473A5" w:rsidRPr="00221854" w14:paraId="26D710FE" w14:textId="77777777" w:rsidTr="004473A5">
        <w:trPr>
          <w:trHeight w:val="1238"/>
        </w:trPr>
        <w:tc>
          <w:tcPr>
            <w:tcW w:w="45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E70BD6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8BDF599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05/NQ-HDQT</w:t>
            </w:r>
          </w:p>
        </w:tc>
        <w:tc>
          <w:tcPr>
            <w:tcW w:w="83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A83B4F0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July 05, 2023</w:t>
            </w:r>
          </w:p>
        </w:tc>
        <w:tc>
          <w:tcPr>
            <w:tcW w:w="245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9C14A88" w14:textId="5494EFCF" w:rsidR="004473A5" w:rsidRPr="00221854" w:rsidRDefault="004473A5" w:rsidP="00F41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41D9D">
              <w:rPr>
                <w:rFonts w:ascii="Arial" w:hAnsi="Arial" w:cs="Arial"/>
                <w:sz w:val="20"/>
                <w:szCs w:val="20"/>
              </w:rPr>
              <w:t>completed tasks</w:t>
            </w:r>
            <w:r w:rsidRPr="00221854">
              <w:rPr>
                <w:rFonts w:ascii="Arial" w:hAnsi="Arial" w:cs="Arial"/>
                <w:sz w:val="20"/>
                <w:szCs w:val="20"/>
              </w:rPr>
              <w:t xml:space="preserve"> in the first six months of 2023</w:t>
            </w:r>
          </w:p>
        </w:tc>
      </w:tr>
      <w:tr w:rsidR="004473A5" w:rsidRPr="00221854" w14:paraId="5DDFA5CD" w14:textId="77777777" w:rsidTr="004473A5">
        <w:trPr>
          <w:trHeight w:val="1229"/>
        </w:trPr>
        <w:tc>
          <w:tcPr>
            <w:tcW w:w="45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3B3A6EF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E17DD51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06/NQ-HDQT</w:t>
            </w:r>
          </w:p>
        </w:tc>
        <w:tc>
          <w:tcPr>
            <w:tcW w:w="83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49232A2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August 14, 2023</w:t>
            </w:r>
          </w:p>
        </w:tc>
        <w:tc>
          <w:tcPr>
            <w:tcW w:w="245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7AD5242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On the merger of Enterprises and the establishment of the Customer Care Department under the Sales Department</w:t>
            </w:r>
          </w:p>
        </w:tc>
      </w:tr>
      <w:tr w:rsidR="004473A5" w:rsidRPr="00221854" w14:paraId="7151116D" w14:textId="77777777" w:rsidTr="004473A5">
        <w:trPr>
          <w:trHeight w:val="1282"/>
        </w:trPr>
        <w:tc>
          <w:tcPr>
            <w:tcW w:w="45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7E89DAF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25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1F63836" w14:textId="32CE5E72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07/CTN1-NQ-H</w:t>
            </w:r>
            <w:r w:rsidR="000150A0" w:rsidRPr="00221854">
              <w:rPr>
                <w:rFonts w:ascii="Arial" w:hAnsi="Arial" w:cs="Arial"/>
                <w:sz w:val="20"/>
                <w:szCs w:val="20"/>
              </w:rPr>
              <w:t>D</w:t>
            </w:r>
            <w:r w:rsidRPr="00221854">
              <w:rPr>
                <w:rFonts w:ascii="Arial" w:hAnsi="Arial" w:cs="Arial"/>
                <w:sz w:val="20"/>
                <w:szCs w:val="20"/>
              </w:rPr>
              <w:t>QT</w:t>
            </w:r>
          </w:p>
        </w:tc>
        <w:tc>
          <w:tcPr>
            <w:tcW w:w="83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DD75033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November 15, 2023</w:t>
            </w:r>
          </w:p>
        </w:tc>
        <w:tc>
          <w:tcPr>
            <w:tcW w:w="2457" w:type="pct"/>
            <w:shd w:val="clear" w:color="auto" w:fill="FFFFFF"/>
            <w:tcMar>
              <w:top w:w="0" w:type="dxa"/>
              <w:bottom w:w="0" w:type="dxa"/>
            </w:tcMar>
          </w:tcPr>
          <w:p w14:paraId="082C938A" w14:textId="73D560AD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On the approval of capital utilization plan, loan plan, and use of collateral</w:t>
            </w:r>
            <w:r w:rsidR="00F41D9D">
              <w:rPr>
                <w:rFonts w:ascii="Arial" w:hAnsi="Arial" w:cs="Arial"/>
                <w:sz w:val="20"/>
                <w:szCs w:val="20"/>
              </w:rPr>
              <w:t>s</w:t>
            </w:r>
            <w:r w:rsidRPr="00221854"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Vietinbank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branch in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province</w:t>
            </w:r>
          </w:p>
        </w:tc>
      </w:tr>
      <w:tr w:rsidR="004473A5" w:rsidRPr="00221854" w14:paraId="102EE9E1" w14:textId="77777777" w:rsidTr="004473A5">
        <w:trPr>
          <w:trHeight w:val="1282"/>
        </w:trPr>
        <w:tc>
          <w:tcPr>
            <w:tcW w:w="45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E1667FA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59063D9" w14:textId="4382E2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08/CTN1-NQ-H</w:t>
            </w:r>
            <w:r w:rsidR="000150A0" w:rsidRPr="00221854">
              <w:rPr>
                <w:rFonts w:ascii="Arial" w:hAnsi="Arial" w:cs="Arial"/>
                <w:sz w:val="20"/>
                <w:szCs w:val="20"/>
              </w:rPr>
              <w:t>D</w:t>
            </w:r>
            <w:r w:rsidRPr="00221854">
              <w:rPr>
                <w:rFonts w:ascii="Arial" w:hAnsi="Arial" w:cs="Arial"/>
                <w:sz w:val="20"/>
                <w:szCs w:val="20"/>
              </w:rPr>
              <w:t>QT</w:t>
            </w:r>
          </w:p>
        </w:tc>
        <w:tc>
          <w:tcPr>
            <w:tcW w:w="83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5332E8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November 21, 2023</w:t>
            </w:r>
          </w:p>
        </w:tc>
        <w:tc>
          <w:tcPr>
            <w:tcW w:w="2457" w:type="pct"/>
            <w:shd w:val="clear" w:color="auto" w:fill="FFFFFF"/>
            <w:tcMar>
              <w:top w:w="0" w:type="dxa"/>
              <w:bottom w:w="0" w:type="dxa"/>
            </w:tcMar>
          </w:tcPr>
          <w:p w14:paraId="25D4B52A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On the approval of capital utilization plan, loan plan, and use of collateral at Vietnam Investment and Development Bank branch in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province</w:t>
            </w:r>
          </w:p>
        </w:tc>
      </w:tr>
      <w:tr w:rsidR="004473A5" w:rsidRPr="00221854" w14:paraId="0F00E20E" w14:textId="77777777" w:rsidTr="004473A5">
        <w:trPr>
          <w:trHeight w:val="1282"/>
        </w:trPr>
        <w:tc>
          <w:tcPr>
            <w:tcW w:w="452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CF18E7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5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DFB50A7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09/NQ-HDQT</w:t>
            </w:r>
          </w:p>
        </w:tc>
        <w:tc>
          <w:tcPr>
            <w:tcW w:w="83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D51DE85" w14:textId="77777777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November 21, 2023</w:t>
            </w:r>
          </w:p>
        </w:tc>
        <w:tc>
          <w:tcPr>
            <w:tcW w:w="2457" w:type="pct"/>
            <w:shd w:val="clear" w:color="auto" w:fill="FFFFFF"/>
            <w:tcMar>
              <w:top w:w="0" w:type="dxa"/>
              <w:bottom w:w="0" w:type="dxa"/>
            </w:tcMar>
          </w:tcPr>
          <w:p w14:paraId="52B51756" w14:textId="65972E3A" w:rsidR="004473A5" w:rsidRPr="00221854" w:rsidRDefault="004473A5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On the personnel preparation plan for the Annual </w:t>
            </w:r>
            <w:r w:rsidR="00F41D9D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2218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D9D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Pr="00221854">
              <w:rPr>
                <w:rFonts w:ascii="Arial" w:hAnsi="Arial" w:cs="Arial"/>
                <w:sz w:val="20"/>
                <w:szCs w:val="20"/>
              </w:rPr>
              <w:t>term 2024-2029</w:t>
            </w:r>
          </w:p>
        </w:tc>
      </w:tr>
    </w:tbl>
    <w:p w14:paraId="3194AE9C" w14:textId="6CC99972" w:rsidR="00642B57" w:rsidRPr="00221854" w:rsidRDefault="00221854" w:rsidP="004473A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>Supervisory Board (Report of 2023):</w:t>
      </w:r>
    </w:p>
    <w:p w14:paraId="27139BE7" w14:textId="2747104C" w:rsidR="00642B57" w:rsidRPr="00221854" w:rsidRDefault="00221854" w:rsidP="004473A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>Information about members of the Supervisory Board:</w:t>
      </w:r>
    </w:p>
    <w:tbl>
      <w:tblPr>
        <w:tblStyle w:val="a2"/>
        <w:tblW w:w="13948" w:type="dxa"/>
        <w:tblLayout w:type="fixed"/>
        <w:tblLook w:val="0000" w:firstRow="0" w:lastRow="0" w:firstColumn="0" w:lastColumn="0" w:noHBand="0" w:noVBand="0"/>
      </w:tblPr>
      <w:tblGrid>
        <w:gridCol w:w="1015"/>
        <w:gridCol w:w="4076"/>
        <w:gridCol w:w="2508"/>
        <w:gridCol w:w="3389"/>
        <w:gridCol w:w="2960"/>
      </w:tblGrid>
      <w:tr w:rsidR="00642B57" w:rsidRPr="00221854" w14:paraId="39ACE2DB" w14:textId="77777777">
        <w:trPr>
          <w:trHeight w:val="90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650B048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No.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08778F2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Member of the Supervisory Board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837BDFE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Position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D80B090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Date of appointment/dismissal as member of the Supervisory Board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2006AC" w14:textId="54819D13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</w:tr>
      <w:tr w:rsidR="00642B57" w:rsidRPr="00221854" w14:paraId="0F118B95" w14:textId="77777777">
        <w:trPr>
          <w:trHeight w:val="88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87B477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2308F4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Mr. Quach Viet Hung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1B5CAB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Chief of the Supervisory Board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4BEF8C5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Date of appointment as member of the Supervisory Board April 20, 2022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D5A5F93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Construction Engineer</w:t>
            </w:r>
          </w:p>
        </w:tc>
      </w:tr>
      <w:tr w:rsidR="00642B57" w:rsidRPr="00221854" w14:paraId="2BBC5A65" w14:textId="77777777">
        <w:trPr>
          <w:trHeight w:val="90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248C4D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8273027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Ms. Nguyen Thi Thuy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26F1B44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Members of the Supervisory Board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B75C409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Date of appointment as member of the Supervisory Board April 25, 2019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FEE8049" w14:textId="2BFF3E29" w:rsidR="00642B57" w:rsidRPr="00221854" w:rsidRDefault="00F41D9D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in</w:t>
            </w:r>
            <w:r w:rsidR="00221854" w:rsidRPr="00221854">
              <w:rPr>
                <w:rFonts w:ascii="Arial" w:hAnsi="Arial" w:cs="Arial"/>
                <w:sz w:val="20"/>
                <w:szCs w:val="20"/>
              </w:rPr>
              <w:t xml:space="preserve"> Economics</w:t>
            </w:r>
          </w:p>
        </w:tc>
      </w:tr>
      <w:tr w:rsidR="00642B57" w:rsidRPr="00221854" w14:paraId="0B2BEF32" w14:textId="77777777">
        <w:trPr>
          <w:trHeight w:val="90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3E4A17D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5143F95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Mr. Vu Xuan Phuong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4D804AF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Members of the Supervisory Board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E3860FA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Date of appointment as member of the Supervisory Board April 20, 2022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ED2187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Construction Engineer</w:t>
            </w:r>
          </w:p>
        </w:tc>
      </w:tr>
    </w:tbl>
    <w:p w14:paraId="74E6EDF0" w14:textId="06219BCF" w:rsidR="00642B57" w:rsidRPr="00221854" w:rsidRDefault="00221854" w:rsidP="004473A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bookmarkStart w:id="0" w:name="bookmark=id.3rdcrjn"/>
      <w:bookmarkEnd w:id="0"/>
      <w:r w:rsidRPr="00221854">
        <w:rPr>
          <w:rFonts w:ascii="Arial" w:hAnsi="Arial" w:cs="Arial"/>
          <w:sz w:val="20"/>
          <w:szCs w:val="20"/>
        </w:rPr>
        <w:t>Executive Board:</w:t>
      </w:r>
    </w:p>
    <w:tbl>
      <w:tblPr>
        <w:tblStyle w:val="a3"/>
        <w:tblW w:w="13948" w:type="dxa"/>
        <w:tblLayout w:type="fixed"/>
        <w:tblLook w:val="0000" w:firstRow="0" w:lastRow="0" w:firstColumn="0" w:lastColumn="0" w:noHBand="0" w:noVBand="0"/>
      </w:tblPr>
      <w:tblGrid>
        <w:gridCol w:w="1032"/>
        <w:gridCol w:w="3942"/>
        <w:gridCol w:w="2014"/>
        <w:gridCol w:w="2862"/>
        <w:gridCol w:w="4098"/>
      </w:tblGrid>
      <w:tr w:rsidR="00642B57" w:rsidRPr="00221854" w14:paraId="3007EE88" w14:textId="77777777">
        <w:trPr>
          <w:trHeight w:val="104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431722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lastRenderedPageBreak/>
              <w:t>No.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DB526F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Members of the Executive Board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F6596C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D149B1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304F3C0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Date of appointment/dismissal as member of the Executive Board</w:t>
            </w:r>
          </w:p>
        </w:tc>
      </w:tr>
      <w:tr w:rsidR="00642B57" w:rsidRPr="00221854" w14:paraId="5F00AD3C" w14:textId="77777777">
        <w:trPr>
          <w:trHeight w:val="89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B56B2D2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816ECD9" w14:textId="70324AB5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Nguyen Van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41D9D">
              <w:rPr>
                <w:rFonts w:ascii="Arial" w:hAnsi="Arial" w:cs="Arial"/>
                <w:sz w:val="20"/>
                <w:szCs w:val="20"/>
              </w:rPr>
              <w:t>Managing Director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88EA0A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December 19, 1976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9877E18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Master in Environment; Engineer of water supply and drainage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DFD06F5" w14:textId="52630EDE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Date of appointment/dismissal as member of the Executive Board</w:t>
            </w:r>
            <w:r w:rsidR="00F41D9D">
              <w:rPr>
                <w:rFonts w:ascii="Arial" w:hAnsi="Arial" w:cs="Arial"/>
                <w:sz w:val="20"/>
                <w:szCs w:val="20"/>
              </w:rPr>
              <w:t>:</w:t>
            </w:r>
            <w:r w:rsidRPr="00221854">
              <w:rPr>
                <w:rFonts w:ascii="Arial" w:hAnsi="Arial" w:cs="Arial"/>
                <w:sz w:val="20"/>
                <w:szCs w:val="20"/>
              </w:rPr>
              <w:t xml:space="preserve"> January 07, 2019</w:t>
            </w:r>
          </w:p>
        </w:tc>
      </w:tr>
      <w:tr w:rsidR="00642B57" w:rsidRPr="00221854" w14:paraId="7C83A023" w14:textId="77777777">
        <w:trPr>
          <w:trHeight w:val="89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02B488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2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D4A829" w14:textId="59328022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Mr. Duy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Thap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- Deputy </w:t>
            </w:r>
            <w:r w:rsidR="00F41D9D">
              <w:rPr>
                <w:rFonts w:ascii="Arial" w:hAnsi="Arial" w:cs="Arial"/>
                <w:sz w:val="20"/>
                <w:szCs w:val="20"/>
              </w:rPr>
              <w:t>Managing Director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B44162C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August 30, 1964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135153" w14:textId="7C116A18" w:rsidR="00642B57" w:rsidRPr="00221854" w:rsidRDefault="00F41D9D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in</w:t>
            </w:r>
            <w:r w:rsidR="00221854" w:rsidRPr="00221854">
              <w:rPr>
                <w:rFonts w:ascii="Arial" w:hAnsi="Arial" w:cs="Arial"/>
                <w:sz w:val="20"/>
                <w:szCs w:val="20"/>
              </w:rPr>
              <w:t xml:space="preserve"> Economics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623D7F5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Date of appointment as members of the Board of Directors</w:t>
            </w:r>
          </w:p>
          <w:p w14:paraId="5820C71E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The Executive Board: June 14, 2022 (re-appointed)</w:t>
            </w:r>
          </w:p>
        </w:tc>
      </w:tr>
      <w:tr w:rsidR="00642B57" w:rsidRPr="00221854" w14:paraId="4CD310F5" w14:textId="77777777">
        <w:trPr>
          <w:trHeight w:val="89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A3618A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E1CAAA" w14:textId="6C272DE9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Ms. Le Thi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KIm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Thanh - Deputy </w:t>
            </w:r>
            <w:r w:rsidR="00F41D9D">
              <w:rPr>
                <w:rFonts w:ascii="Arial" w:hAnsi="Arial" w:cs="Arial"/>
                <w:sz w:val="20"/>
                <w:szCs w:val="20"/>
              </w:rPr>
              <w:t>Managing Director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28CC4D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November 02, 1973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B327937" w14:textId="3F76BB59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Master of Business Administration, </w:t>
            </w:r>
            <w:r w:rsidR="00F41D9D">
              <w:rPr>
                <w:rFonts w:ascii="Arial" w:hAnsi="Arial" w:cs="Arial"/>
                <w:sz w:val="20"/>
                <w:szCs w:val="20"/>
              </w:rPr>
              <w:t>Bachelor in</w:t>
            </w:r>
            <w:r w:rsidRPr="00221854">
              <w:rPr>
                <w:rFonts w:ascii="Arial" w:hAnsi="Arial" w:cs="Arial"/>
                <w:sz w:val="20"/>
                <w:szCs w:val="20"/>
              </w:rPr>
              <w:t xml:space="preserve"> Economics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612B9E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Date of appointment/dismissal as member of the Executive Board January 16, 2020</w:t>
            </w:r>
          </w:p>
        </w:tc>
      </w:tr>
    </w:tbl>
    <w:p w14:paraId="03CAA936" w14:textId="279C3343" w:rsidR="00642B57" w:rsidRPr="00221854" w:rsidRDefault="00221854" w:rsidP="004473A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color w:val="111B2A"/>
          <w:sz w:val="20"/>
          <w:szCs w:val="20"/>
        </w:rPr>
        <w:t>Chief Accountant</w:t>
      </w:r>
    </w:p>
    <w:tbl>
      <w:tblPr>
        <w:tblStyle w:val="a4"/>
        <w:tblW w:w="13947" w:type="dxa"/>
        <w:tblLayout w:type="fixed"/>
        <w:tblLook w:val="0000" w:firstRow="0" w:lastRow="0" w:firstColumn="0" w:lastColumn="0" w:noHBand="0" w:noVBand="0"/>
      </w:tblPr>
      <w:tblGrid>
        <w:gridCol w:w="1159"/>
        <w:gridCol w:w="3797"/>
        <w:gridCol w:w="2611"/>
        <w:gridCol w:w="3194"/>
        <w:gridCol w:w="3186"/>
      </w:tblGrid>
      <w:tr w:rsidR="00642B57" w:rsidRPr="00221854" w14:paraId="2F746185" w14:textId="77777777">
        <w:trPr>
          <w:trHeight w:val="74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CA24B5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No.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5EEEE0D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A2F2857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E2B4D3F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E3F5A35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Date of appointment/dismissal</w:t>
            </w:r>
          </w:p>
        </w:tc>
      </w:tr>
      <w:tr w:rsidR="00642B57" w:rsidRPr="00221854" w14:paraId="237A86C0" w14:textId="77777777">
        <w:trPr>
          <w:trHeight w:val="59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ECE02FC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5544F4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Bui Thi Thuy Ngoc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2432273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July 24, 1975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8D7F81" w14:textId="5601E38C" w:rsidR="00642B57" w:rsidRPr="00221854" w:rsidRDefault="00F41D9D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in</w:t>
            </w:r>
            <w:r w:rsidR="00221854" w:rsidRPr="00221854">
              <w:rPr>
                <w:rFonts w:ascii="Arial" w:hAnsi="Arial" w:cs="Arial"/>
                <w:sz w:val="20"/>
                <w:szCs w:val="20"/>
              </w:rPr>
              <w:t xml:space="preserve"> Economics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36136A7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July 05, 2019</w:t>
            </w:r>
          </w:p>
        </w:tc>
      </w:tr>
    </w:tbl>
    <w:p w14:paraId="6FA75AEA" w14:textId="77777777" w:rsidR="00642B57" w:rsidRPr="00221854" w:rsidRDefault="00221854" w:rsidP="004473A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98"/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>Training on corporate governance</w:t>
      </w:r>
    </w:p>
    <w:p w14:paraId="0257BA73" w14:textId="5CB6DE4C" w:rsidR="00642B57" w:rsidRPr="00221854" w:rsidRDefault="00221854" w:rsidP="00447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 xml:space="preserve">List of </w:t>
      </w:r>
      <w:r w:rsidR="00F41D9D">
        <w:rPr>
          <w:rFonts w:ascii="Arial" w:hAnsi="Arial" w:cs="Arial"/>
          <w:sz w:val="20"/>
          <w:szCs w:val="20"/>
        </w:rPr>
        <w:t>related</w:t>
      </w:r>
      <w:r w:rsidRPr="00221854">
        <w:rPr>
          <w:rFonts w:ascii="Arial" w:hAnsi="Arial" w:cs="Arial"/>
          <w:sz w:val="20"/>
          <w:szCs w:val="20"/>
        </w:rPr>
        <w:t xml:space="preserve"> persons of the public company (Annual Report 2023) and transactions between the </w:t>
      </w:r>
      <w:r w:rsidR="00F41D9D">
        <w:rPr>
          <w:rFonts w:ascii="Arial" w:hAnsi="Arial" w:cs="Arial"/>
          <w:sz w:val="20"/>
          <w:szCs w:val="20"/>
        </w:rPr>
        <w:t>related</w:t>
      </w:r>
      <w:r w:rsidRPr="00221854">
        <w:rPr>
          <w:rFonts w:ascii="Arial" w:hAnsi="Arial" w:cs="Arial"/>
          <w:sz w:val="20"/>
          <w:szCs w:val="20"/>
        </w:rPr>
        <w:t xml:space="preserve"> persons of the Company with the Company itself</w:t>
      </w:r>
    </w:p>
    <w:p w14:paraId="7A986F91" w14:textId="5FDBB59E" w:rsidR="00642B57" w:rsidRPr="00221854" w:rsidRDefault="00221854" w:rsidP="004473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  <w:sectPr w:rsidR="00642B57" w:rsidRPr="00221854" w:rsidSect="0066418E">
          <w:pgSz w:w="16838" w:h="11906" w:orient="landscape"/>
          <w:pgMar w:top="1440" w:right="1440" w:bottom="1440" w:left="1440" w:header="0" w:footer="3" w:gutter="0"/>
          <w:pgNumType w:start="1"/>
          <w:cols w:space="720"/>
        </w:sectPr>
      </w:pPr>
      <w:r w:rsidRPr="00221854">
        <w:rPr>
          <w:rFonts w:ascii="Arial" w:hAnsi="Arial" w:cs="Arial"/>
          <w:sz w:val="20"/>
          <w:szCs w:val="20"/>
        </w:rPr>
        <w:t xml:space="preserve">Transactions between the Company and </w:t>
      </w:r>
      <w:r w:rsidR="00F41D9D">
        <w:rPr>
          <w:rFonts w:ascii="Arial" w:hAnsi="Arial" w:cs="Arial"/>
          <w:sz w:val="20"/>
          <w:szCs w:val="20"/>
        </w:rPr>
        <w:t>related</w:t>
      </w:r>
      <w:r w:rsidRPr="00221854">
        <w:rPr>
          <w:rFonts w:ascii="Arial" w:hAnsi="Arial" w:cs="Arial"/>
          <w:sz w:val="20"/>
          <w:szCs w:val="20"/>
        </w:rPr>
        <w:t xml:space="preserve"> persons of the Company; or between the Company and </w:t>
      </w:r>
      <w:r w:rsidR="00134943">
        <w:rPr>
          <w:rFonts w:ascii="Arial" w:hAnsi="Arial" w:cs="Arial"/>
          <w:sz w:val="20"/>
          <w:szCs w:val="20"/>
        </w:rPr>
        <w:t>principal</w:t>
      </w:r>
      <w:r w:rsidRPr="00221854">
        <w:rPr>
          <w:rFonts w:ascii="Arial" w:hAnsi="Arial" w:cs="Arial"/>
          <w:sz w:val="20"/>
          <w:szCs w:val="20"/>
        </w:rPr>
        <w:t xml:space="preserve"> shareholders, PDMR and </w:t>
      </w:r>
      <w:r w:rsidR="00F41D9D">
        <w:rPr>
          <w:rFonts w:ascii="Arial" w:hAnsi="Arial" w:cs="Arial"/>
          <w:sz w:val="20"/>
          <w:szCs w:val="20"/>
        </w:rPr>
        <w:t>related</w:t>
      </w:r>
      <w:r w:rsidRPr="00221854">
        <w:rPr>
          <w:rFonts w:ascii="Arial" w:hAnsi="Arial" w:cs="Arial"/>
          <w:sz w:val="20"/>
          <w:szCs w:val="20"/>
        </w:rPr>
        <w:t xml:space="preserve"> persons of PDMR</w:t>
      </w:r>
    </w:p>
    <w:tbl>
      <w:tblPr>
        <w:tblStyle w:val="a5"/>
        <w:tblW w:w="14860" w:type="dxa"/>
        <w:tblLayout w:type="fixed"/>
        <w:tblLook w:val="0000" w:firstRow="0" w:lastRow="0" w:firstColumn="0" w:lastColumn="0" w:noHBand="0" w:noVBand="0"/>
      </w:tblPr>
      <w:tblGrid>
        <w:gridCol w:w="773"/>
        <w:gridCol w:w="1670"/>
        <w:gridCol w:w="1651"/>
        <w:gridCol w:w="2218"/>
        <w:gridCol w:w="1992"/>
        <w:gridCol w:w="1694"/>
        <w:gridCol w:w="2371"/>
        <w:gridCol w:w="1574"/>
        <w:gridCol w:w="917"/>
      </w:tblGrid>
      <w:tr w:rsidR="00642B57" w:rsidRPr="00221854" w14:paraId="1532BBA0" w14:textId="77777777">
        <w:trPr>
          <w:trHeight w:val="171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A947ECB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DD0F22F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Name of organizations/individuals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3E7D702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Relations with the Corporation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302AC9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NSH* No., date of issue, place of issue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2E650AB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Head office address/Contact address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B1561C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Time of transaction with the Company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6414D89" w14:textId="65F171D1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Approved General Mandate/Decision No. of the </w:t>
            </w:r>
            <w:r w:rsidR="00F41D9D">
              <w:rPr>
                <w:rFonts w:ascii="Arial" w:hAnsi="Arial" w:cs="Arial"/>
                <w:sz w:val="20"/>
                <w:szCs w:val="20"/>
              </w:rPr>
              <w:t>General Meeting</w:t>
            </w:r>
            <w:r w:rsidRPr="00221854">
              <w:rPr>
                <w:rFonts w:ascii="Arial" w:hAnsi="Arial" w:cs="Arial"/>
                <w:sz w:val="20"/>
                <w:szCs w:val="20"/>
              </w:rPr>
              <w:t xml:space="preserve"> and Board Resolutions/Decisions (including promulgation date if any)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24857B0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Content, quantity, total value of transaction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58C964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Note</w:t>
            </w:r>
          </w:p>
        </w:tc>
      </w:tr>
      <w:tr w:rsidR="00642B57" w:rsidRPr="00221854" w14:paraId="2D04ECF6" w14:textId="77777777" w:rsidTr="00134943">
        <w:trPr>
          <w:trHeight w:val="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654A8BD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8DA3CAC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Infrastructure Development JSC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563614" w14:textId="3CA617E4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Joint venture/ </w:t>
            </w:r>
            <w:r w:rsidR="00F41D9D">
              <w:rPr>
                <w:rFonts w:ascii="Arial" w:hAnsi="Arial" w:cs="Arial"/>
                <w:sz w:val="20"/>
                <w:szCs w:val="20"/>
              </w:rPr>
              <w:t>Related</w:t>
            </w:r>
            <w:r w:rsidRPr="00221854">
              <w:rPr>
                <w:rFonts w:ascii="Arial" w:hAnsi="Arial" w:cs="Arial"/>
                <w:sz w:val="20"/>
                <w:szCs w:val="20"/>
              </w:rPr>
              <w:t xml:space="preserve"> person of PDMR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1655B76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Business Registration Certificate No.: 2500389518 Date of issuance: October 18, 2021 Place of issuance: Department of Planning and Investment of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Province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8726834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Zone 3, Quang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Hamlet, Dong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Tinh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Commune, Tam Duong District,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Province, Vietnam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8145E6B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The provision of services between the two parties may be carried out periodically, regularly, or on a case-by-case basis depending on the specific agreement between the two companies.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07717CF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Notice No. 48/UBND-CN1 dated March 27, 2008 of the People's Committee of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province on the conclusion of the Chair of the People's Committee of the province on the water supply plan for industrial parks in Tam Duong district for the period 2008-2015, with a capacity of 80,000m3/day by Notice and the Annual General Mandate for the year 2023 dated April 19, 2023.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3D935C5" w14:textId="69DBA04C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The clean water supply contract has the volume depending on the use plan of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No1 Water Supply and Drainage JSC and has the selling price adjusted annually when the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1854"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  <w:r w:rsidRPr="00221854">
              <w:rPr>
                <w:rFonts w:ascii="Arial" w:hAnsi="Arial" w:cs="Arial"/>
                <w:sz w:val="20"/>
                <w:szCs w:val="20"/>
              </w:rPr>
              <w:t xml:space="preserve"> Provincial People's Committee adjusts the unit price of clean </w:t>
            </w:r>
            <w:r w:rsidR="00134943">
              <w:rPr>
                <w:rFonts w:ascii="Arial" w:hAnsi="Arial" w:cs="Arial"/>
                <w:sz w:val="20"/>
                <w:szCs w:val="20"/>
              </w:rPr>
              <w:lastRenderedPageBreak/>
              <w:t>water.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EF08AAD" w14:textId="77777777" w:rsidR="00642B57" w:rsidRPr="00221854" w:rsidRDefault="00642B57" w:rsidP="004473A5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BDAF79A" w14:textId="77777777" w:rsidR="004473A5" w:rsidRPr="00221854" w:rsidRDefault="00221854" w:rsidP="00134943">
      <w:p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lastRenderedPageBreak/>
        <w:t>Notes: NSH Number*: ID Card/Passport No. (for individuals) or Business Registration Certificate No., License on Operations No. or equivalent legal documents (for institutions)</w:t>
      </w:r>
    </w:p>
    <w:p w14:paraId="6776C2D4" w14:textId="10749A00" w:rsidR="00642B57" w:rsidRPr="00221854" w:rsidRDefault="00221854" w:rsidP="0013494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>Transactions between Company’s PDMR, related persons of PDMR and subsidiaries, companies controlled by the Company.</w:t>
      </w:r>
    </w:p>
    <w:p w14:paraId="521D2298" w14:textId="77777777" w:rsidR="00642B57" w:rsidRPr="00221854" w:rsidRDefault="00221854" w:rsidP="0013494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>None.</w:t>
      </w:r>
    </w:p>
    <w:p w14:paraId="42C50A6B" w14:textId="77777777" w:rsidR="00642B57" w:rsidRPr="00221854" w:rsidRDefault="00221854" w:rsidP="001349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>Transactions between the Company and other entities.</w:t>
      </w:r>
    </w:p>
    <w:p w14:paraId="1C2D859D" w14:textId="34573014" w:rsidR="00642B57" w:rsidRPr="00221854" w:rsidRDefault="00221854" w:rsidP="0013494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31"/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 xml:space="preserve">Transactions between the Company and companies where members of the Board of Directors, members of the </w:t>
      </w:r>
      <w:r w:rsidR="00134943">
        <w:rPr>
          <w:rFonts w:ascii="Arial" w:hAnsi="Arial" w:cs="Arial"/>
          <w:sz w:val="20"/>
          <w:szCs w:val="20"/>
        </w:rPr>
        <w:t>Supervisory Board, Executive</w:t>
      </w:r>
      <w:r w:rsidRPr="00221854">
        <w:rPr>
          <w:rFonts w:ascii="Arial" w:hAnsi="Arial" w:cs="Arial"/>
          <w:sz w:val="20"/>
          <w:szCs w:val="20"/>
        </w:rPr>
        <w:t xml:space="preserve"> Manager (</w:t>
      </w:r>
      <w:r w:rsidR="00F41D9D">
        <w:rPr>
          <w:rFonts w:ascii="Arial" w:hAnsi="Arial" w:cs="Arial"/>
          <w:sz w:val="20"/>
          <w:szCs w:val="20"/>
        </w:rPr>
        <w:t>Managing Director</w:t>
      </w:r>
      <w:r w:rsidRPr="00221854">
        <w:rPr>
          <w:rFonts w:ascii="Arial" w:hAnsi="Arial" w:cs="Arial"/>
          <w:sz w:val="20"/>
          <w:szCs w:val="20"/>
        </w:rPr>
        <w:t>) and other</w:t>
      </w:r>
      <w:r w:rsidR="00134943">
        <w:rPr>
          <w:rFonts w:ascii="Arial" w:hAnsi="Arial" w:cs="Arial"/>
          <w:sz w:val="20"/>
          <w:szCs w:val="20"/>
        </w:rPr>
        <w:t xml:space="preserve"> managers have been founding mem</w:t>
      </w:r>
      <w:r w:rsidRPr="00221854">
        <w:rPr>
          <w:rFonts w:ascii="Arial" w:hAnsi="Arial" w:cs="Arial"/>
          <w:sz w:val="20"/>
          <w:szCs w:val="20"/>
        </w:rPr>
        <w:t>bers or members of</w:t>
      </w:r>
      <w:r w:rsidR="00134943">
        <w:rPr>
          <w:rFonts w:ascii="Arial" w:hAnsi="Arial" w:cs="Arial"/>
          <w:sz w:val="20"/>
          <w:szCs w:val="20"/>
        </w:rPr>
        <w:t xml:space="preserve"> the Board of Directors or Exe</w:t>
      </w:r>
      <w:r w:rsidRPr="00221854">
        <w:rPr>
          <w:rFonts w:ascii="Arial" w:hAnsi="Arial" w:cs="Arial"/>
          <w:sz w:val="20"/>
          <w:szCs w:val="20"/>
        </w:rPr>
        <w:t>cutive Manager (</w:t>
      </w:r>
      <w:r w:rsidR="00F41D9D">
        <w:rPr>
          <w:rFonts w:ascii="Arial" w:hAnsi="Arial" w:cs="Arial"/>
          <w:sz w:val="20"/>
          <w:szCs w:val="20"/>
        </w:rPr>
        <w:t>Managing Director</w:t>
      </w:r>
      <w:r w:rsidRPr="00221854">
        <w:rPr>
          <w:rFonts w:ascii="Arial" w:hAnsi="Arial" w:cs="Arial"/>
          <w:sz w:val="20"/>
          <w:szCs w:val="20"/>
        </w:rPr>
        <w:t>) for the past three (03) years (as at the time of reporting): Mentioned in Section VII.2.</w:t>
      </w:r>
    </w:p>
    <w:p w14:paraId="196B8A3D" w14:textId="5C8641A7" w:rsidR="00642B57" w:rsidRPr="00221854" w:rsidRDefault="00221854" w:rsidP="0013494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26"/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 xml:space="preserve">Transactions between the Company and companies executed by the </w:t>
      </w:r>
      <w:r w:rsidR="00F41D9D">
        <w:rPr>
          <w:rFonts w:ascii="Arial" w:hAnsi="Arial" w:cs="Arial"/>
          <w:sz w:val="20"/>
          <w:szCs w:val="20"/>
        </w:rPr>
        <w:t>related</w:t>
      </w:r>
      <w:r w:rsidRPr="00221854">
        <w:rPr>
          <w:rFonts w:ascii="Arial" w:hAnsi="Arial" w:cs="Arial"/>
          <w:sz w:val="20"/>
          <w:szCs w:val="20"/>
        </w:rPr>
        <w:t xml:space="preserve"> people of members of the Board of Directors, membe</w:t>
      </w:r>
      <w:r w:rsidR="00134943">
        <w:rPr>
          <w:rFonts w:ascii="Arial" w:hAnsi="Arial" w:cs="Arial"/>
          <w:sz w:val="20"/>
          <w:szCs w:val="20"/>
        </w:rPr>
        <w:t>rs of the Supervisory Board, Executive Manager (</w:t>
      </w:r>
      <w:r w:rsidR="00F41D9D">
        <w:rPr>
          <w:rFonts w:ascii="Arial" w:hAnsi="Arial" w:cs="Arial"/>
          <w:sz w:val="20"/>
          <w:szCs w:val="20"/>
        </w:rPr>
        <w:t>Managing Director</w:t>
      </w:r>
      <w:r w:rsidRPr="00221854">
        <w:rPr>
          <w:rFonts w:ascii="Arial" w:hAnsi="Arial" w:cs="Arial"/>
          <w:sz w:val="20"/>
          <w:szCs w:val="20"/>
        </w:rPr>
        <w:t>) and other managers who are memb</w:t>
      </w:r>
      <w:r w:rsidR="00134943">
        <w:rPr>
          <w:rFonts w:ascii="Arial" w:hAnsi="Arial" w:cs="Arial"/>
          <w:sz w:val="20"/>
          <w:szCs w:val="20"/>
        </w:rPr>
        <w:t>ers of the Board of Directors or</w:t>
      </w:r>
      <w:r w:rsidRPr="00221854">
        <w:rPr>
          <w:rFonts w:ascii="Arial" w:hAnsi="Arial" w:cs="Arial"/>
          <w:sz w:val="20"/>
          <w:szCs w:val="20"/>
        </w:rPr>
        <w:t xml:space="preserve"> Executive Manager (the </w:t>
      </w:r>
      <w:r w:rsidR="00F41D9D">
        <w:rPr>
          <w:rFonts w:ascii="Arial" w:hAnsi="Arial" w:cs="Arial"/>
          <w:sz w:val="20"/>
          <w:szCs w:val="20"/>
        </w:rPr>
        <w:t>Managing Director</w:t>
      </w:r>
      <w:r w:rsidRPr="00221854">
        <w:rPr>
          <w:rFonts w:ascii="Arial" w:hAnsi="Arial" w:cs="Arial"/>
          <w:sz w:val="20"/>
          <w:szCs w:val="20"/>
        </w:rPr>
        <w:t>). None.</w:t>
      </w:r>
    </w:p>
    <w:p w14:paraId="4DA31476" w14:textId="1B605F31" w:rsidR="00642B57" w:rsidRPr="00221854" w:rsidRDefault="00221854" w:rsidP="0013494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36"/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>Other transactions of the Company (if any) which can bring material or non-material benefits to members of the Board of Directors, membe</w:t>
      </w:r>
      <w:r w:rsidR="00134943">
        <w:rPr>
          <w:rFonts w:ascii="Arial" w:hAnsi="Arial" w:cs="Arial"/>
          <w:sz w:val="20"/>
          <w:szCs w:val="20"/>
        </w:rPr>
        <w:t>rs of the Supervisory Board, Executive</w:t>
      </w:r>
      <w:r w:rsidRPr="00221854">
        <w:rPr>
          <w:rFonts w:ascii="Arial" w:hAnsi="Arial" w:cs="Arial"/>
          <w:sz w:val="20"/>
          <w:szCs w:val="20"/>
        </w:rPr>
        <w:t xml:space="preserve"> Manager (</w:t>
      </w:r>
      <w:r w:rsidR="00F41D9D">
        <w:rPr>
          <w:rFonts w:ascii="Arial" w:hAnsi="Arial" w:cs="Arial"/>
          <w:sz w:val="20"/>
          <w:szCs w:val="20"/>
        </w:rPr>
        <w:t>Managing Director</w:t>
      </w:r>
      <w:r w:rsidRPr="00221854">
        <w:rPr>
          <w:rFonts w:ascii="Arial" w:hAnsi="Arial" w:cs="Arial"/>
          <w:sz w:val="20"/>
          <w:szCs w:val="20"/>
        </w:rPr>
        <w:t>) and other managers: None.</w:t>
      </w:r>
    </w:p>
    <w:p w14:paraId="0454C598" w14:textId="76E306F8" w:rsidR="00642B57" w:rsidRPr="00221854" w:rsidRDefault="00221854" w:rsidP="0013494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68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 xml:space="preserve">Share transactions of PDMR and </w:t>
      </w:r>
      <w:r w:rsidR="00F41D9D">
        <w:rPr>
          <w:rFonts w:ascii="Arial" w:hAnsi="Arial" w:cs="Arial"/>
          <w:sz w:val="20"/>
          <w:szCs w:val="20"/>
        </w:rPr>
        <w:t>related</w:t>
      </w:r>
      <w:r w:rsidRPr="00221854">
        <w:rPr>
          <w:rFonts w:ascii="Arial" w:hAnsi="Arial" w:cs="Arial"/>
          <w:sz w:val="20"/>
          <w:szCs w:val="20"/>
        </w:rPr>
        <w:t xml:space="preserve"> persons of PDMR (Report of 2023)</w:t>
      </w:r>
    </w:p>
    <w:p w14:paraId="432CF9B6" w14:textId="5B5257E8" w:rsidR="00642B57" w:rsidRPr="00221854" w:rsidRDefault="00221854" w:rsidP="001349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sz w:val="20"/>
          <w:szCs w:val="20"/>
        </w:rPr>
        <w:t xml:space="preserve">Company’s share transaction of PDMR and </w:t>
      </w:r>
      <w:r w:rsidR="00F41D9D">
        <w:rPr>
          <w:rFonts w:ascii="Arial" w:hAnsi="Arial" w:cs="Arial"/>
          <w:sz w:val="20"/>
          <w:szCs w:val="20"/>
        </w:rPr>
        <w:t>related</w:t>
      </w:r>
      <w:r w:rsidRPr="00221854">
        <w:rPr>
          <w:rFonts w:ascii="Arial" w:hAnsi="Arial" w:cs="Arial"/>
          <w:sz w:val="20"/>
          <w:szCs w:val="20"/>
        </w:rPr>
        <w:t xml:space="preserve"> persons.</w:t>
      </w:r>
    </w:p>
    <w:tbl>
      <w:tblPr>
        <w:tblStyle w:val="a6"/>
        <w:tblW w:w="13948" w:type="dxa"/>
        <w:tblLayout w:type="fixed"/>
        <w:tblLook w:val="0000" w:firstRow="0" w:lastRow="0" w:firstColumn="0" w:lastColumn="0" w:noHBand="0" w:noVBand="0"/>
      </w:tblPr>
      <w:tblGrid>
        <w:gridCol w:w="987"/>
        <w:gridCol w:w="1969"/>
        <w:gridCol w:w="2062"/>
        <w:gridCol w:w="1710"/>
        <w:gridCol w:w="1568"/>
        <w:gridCol w:w="1582"/>
        <w:gridCol w:w="1590"/>
        <w:gridCol w:w="2480"/>
      </w:tblGrid>
      <w:tr w:rsidR="00642B57" w:rsidRPr="00221854" w14:paraId="3F8BF377" w14:textId="77777777">
        <w:trPr>
          <w:trHeight w:val="686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749C60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9FDFE0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t>Transaction conductor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B5C556A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Relations with PMDR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0459075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Number of shares owned at the beginning of the period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7C3C73F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Number of shares owned at the end of the period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CBFA78F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Reasons for increase or decrease (buy, sell, convert, reward, etc.)</w:t>
            </w:r>
          </w:p>
        </w:tc>
      </w:tr>
      <w:tr w:rsidR="00642B57" w:rsidRPr="00221854" w14:paraId="06AD81E6" w14:textId="77777777">
        <w:trPr>
          <w:trHeight w:val="619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07DFE3" w14:textId="77777777" w:rsidR="00642B57" w:rsidRPr="00221854" w:rsidRDefault="00642B57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25087F" w14:textId="77777777" w:rsidR="00642B57" w:rsidRPr="00221854" w:rsidRDefault="00642B57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BC39B86" w14:textId="77777777" w:rsidR="00642B57" w:rsidRPr="00221854" w:rsidRDefault="00642B57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A321DAD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Number of shares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A93FF4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B073FC5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Number of shares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0263106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4337F75" w14:textId="77777777" w:rsidR="00642B57" w:rsidRPr="00221854" w:rsidRDefault="00642B57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2B57" w:rsidRPr="00221854" w14:paraId="61EECA25" w14:textId="77777777">
        <w:trPr>
          <w:trHeight w:val="119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5D1897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color w:val="111B2A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3853000" w14:textId="29245E2F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 xml:space="preserve">Le Thi Kim Thanh - Member of the Board of Directors-cum-Deputy </w:t>
            </w:r>
            <w:r w:rsidR="00F41D9D">
              <w:rPr>
                <w:rFonts w:ascii="Arial" w:hAnsi="Arial" w:cs="Arial"/>
                <w:sz w:val="20"/>
                <w:szCs w:val="20"/>
              </w:rPr>
              <w:t>Managing Director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78F2CFD" w14:textId="77777777" w:rsidR="00642B57" w:rsidRPr="00221854" w:rsidRDefault="00642B57" w:rsidP="004473A5">
            <w:pP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ABDE091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25,400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5D01D9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0.2274%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81CE69C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44,300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C79D0E" w14:textId="77777777" w:rsidR="00642B57" w:rsidRPr="00221854" w:rsidRDefault="00221854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1854">
              <w:rPr>
                <w:rFonts w:ascii="Arial" w:hAnsi="Arial" w:cs="Arial"/>
                <w:sz w:val="20"/>
                <w:szCs w:val="20"/>
              </w:rPr>
              <w:t>0.3966%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E0E646" w14:textId="22ECCC90" w:rsidR="00642B57" w:rsidRPr="00221854" w:rsidRDefault="00134943" w:rsidP="0044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purchase</w:t>
            </w:r>
            <w:bookmarkStart w:id="1" w:name="_GoBack"/>
            <w:bookmarkEnd w:id="1"/>
          </w:p>
        </w:tc>
      </w:tr>
    </w:tbl>
    <w:p w14:paraId="1193C4A2" w14:textId="77777777" w:rsidR="00642B57" w:rsidRPr="00221854" w:rsidRDefault="00221854" w:rsidP="004473A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2"/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color w:val="111B2A"/>
          <w:sz w:val="20"/>
          <w:szCs w:val="20"/>
        </w:rPr>
        <w:t>Other significant issues</w:t>
      </w:r>
    </w:p>
    <w:p w14:paraId="6CEB348B" w14:textId="77777777" w:rsidR="00642B57" w:rsidRPr="00221854" w:rsidRDefault="00221854" w:rsidP="004473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221854">
        <w:rPr>
          <w:rFonts w:ascii="Arial" w:hAnsi="Arial" w:cs="Arial"/>
          <w:color w:val="111B2A"/>
          <w:sz w:val="20"/>
          <w:szCs w:val="20"/>
        </w:rPr>
        <w:t>None.</w:t>
      </w:r>
    </w:p>
    <w:sectPr w:rsidR="00642B57" w:rsidRPr="00221854">
      <w:pgSz w:w="16838" w:h="11906" w:orient="landscape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EBC"/>
    <w:multiLevelType w:val="multilevel"/>
    <w:tmpl w:val="DBCCAA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8E0F98"/>
    <w:multiLevelType w:val="multilevel"/>
    <w:tmpl w:val="F88CB6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EF60B2"/>
    <w:multiLevelType w:val="multilevel"/>
    <w:tmpl w:val="995E117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F3350C"/>
    <w:multiLevelType w:val="hybridMultilevel"/>
    <w:tmpl w:val="3B6C03E0"/>
    <w:lvl w:ilvl="0" w:tplc="1214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01A3"/>
    <w:multiLevelType w:val="hybridMultilevel"/>
    <w:tmpl w:val="DDEAEE9C"/>
    <w:lvl w:ilvl="0" w:tplc="E77AB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91890"/>
    <w:multiLevelType w:val="hybridMultilevel"/>
    <w:tmpl w:val="5AC813D6"/>
    <w:lvl w:ilvl="0" w:tplc="3CC6F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04B9E"/>
    <w:multiLevelType w:val="multilevel"/>
    <w:tmpl w:val="84507D30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11B2A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A9B6E83"/>
    <w:multiLevelType w:val="hybridMultilevel"/>
    <w:tmpl w:val="E09C7DD6"/>
    <w:lvl w:ilvl="0" w:tplc="6122C192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56B2D"/>
    <w:multiLevelType w:val="multilevel"/>
    <w:tmpl w:val="B942D32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42F076D"/>
    <w:multiLevelType w:val="multilevel"/>
    <w:tmpl w:val="04545F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111B2A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57"/>
    <w:rsid w:val="000150A0"/>
    <w:rsid w:val="00134943"/>
    <w:rsid w:val="0014357A"/>
    <w:rsid w:val="00221854"/>
    <w:rsid w:val="004473A5"/>
    <w:rsid w:val="00642B57"/>
    <w:rsid w:val="0066418E"/>
    <w:rsid w:val="00F4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A3F0"/>
  <w15:docId w15:val="{6920DD2D-9C4F-4692-B780-E9116718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1F21"/>
      <w:sz w:val="12"/>
      <w:szCs w:val="1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1F21"/>
      <w:sz w:val="9"/>
      <w:szCs w:val="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D718E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Times New Roman" w:eastAsia="Times New Roman" w:hAnsi="Times New Roman" w:cs="Times New Roman"/>
      <w:color w:val="E41F21"/>
      <w:sz w:val="12"/>
      <w:szCs w:val="12"/>
    </w:rPr>
  </w:style>
  <w:style w:type="paragraph" w:customStyle="1" w:styleId="Heading21">
    <w:name w:val="Heading #2"/>
    <w:basedOn w:val="Normal"/>
    <w:link w:val="Heading20"/>
    <w:pPr>
      <w:spacing w:line="26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257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E41F21"/>
      <w:sz w:val="9"/>
      <w:szCs w:val="9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DD718E"/>
      <w:sz w:val="17"/>
      <w:szCs w:val="17"/>
    </w:rPr>
  </w:style>
  <w:style w:type="paragraph" w:customStyle="1" w:styleId="Heading11">
    <w:name w:val="Heading #1"/>
    <w:basedOn w:val="Normal"/>
    <w:link w:val="Heading10"/>
    <w:pPr>
      <w:ind w:left="58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3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39C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39C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44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hphucwat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N9e0vQqSTuWR600kbP4A9WlD9w==">CgMxLjAyCmlkLjNyZGNyam44AHIhMVlOZ0ptTmxycEp1Zlh5eDQ5dXJKdDROTDVhYmtDUWVa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2024-02-19T03:42:00Z</dcterms:created>
  <dcterms:modified xsi:type="dcterms:W3CDTF">2024-02-19T03:42:00Z</dcterms:modified>
</cp:coreProperties>
</file>