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537F4C" w14:textId="77777777" w:rsidR="001B7AAB" w:rsidRPr="00383F3C" w:rsidRDefault="001B7AAB" w:rsidP="00240FC0">
      <w:pPr>
        <w:pStyle w:val="Vnbnnidung0"/>
        <w:tabs>
          <w:tab w:val="left" w:pos="360"/>
        </w:tabs>
        <w:spacing w:after="120" w:line="360" w:lineRule="auto"/>
        <w:ind w:firstLine="0"/>
        <w:jc w:val="both"/>
        <w:rPr>
          <w:rFonts w:ascii="Arial" w:hAnsi="Arial" w:cs="Arial"/>
          <w:b/>
          <w:bCs/>
          <w:color w:val="010000"/>
          <w:sz w:val="20"/>
        </w:rPr>
      </w:pPr>
      <w:r w:rsidRPr="00383F3C">
        <w:rPr>
          <w:rFonts w:ascii="Arial" w:hAnsi="Arial" w:cs="Arial"/>
          <w:b/>
          <w:color w:val="010000"/>
          <w:sz w:val="20"/>
        </w:rPr>
        <w:t>VDT: Board Resolution</w:t>
      </w:r>
    </w:p>
    <w:p w14:paraId="651FF401" w14:textId="044757AC" w:rsidR="001B7AAB" w:rsidRPr="00383F3C" w:rsidRDefault="001B7AAB" w:rsidP="00240FC0">
      <w:pPr>
        <w:pStyle w:val="Vnbnnidung0"/>
        <w:tabs>
          <w:tab w:val="left" w:pos="360"/>
        </w:tabs>
        <w:spacing w:after="120" w:line="360" w:lineRule="auto"/>
        <w:ind w:firstLine="0"/>
        <w:jc w:val="both"/>
        <w:rPr>
          <w:rFonts w:ascii="Arial" w:hAnsi="Arial" w:cs="Arial"/>
          <w:bCs/>
          <w:color w:val="010000"/>
          <w:sz w:val="20"/>
        </w:rPr>
      </w:pPr>
      <w:r w:rsidRPr="00383F3C">
        <w:rPr>
          <w:rFonts w:ascii="Arial" w:hAnsi="Arial" w:cs="Arial"/>
          <w:color w:val="010000"/>
          <w:sz w:val="20"/>
        </w:rPr>
        <w:t>On January 30, 2024, Binh Tay Steel Wire Netting JSC announced Resolution No. 03/NQ-HDQT-VDT as follows:</w:t>
      </w:r>
    </w:p>
    <w:p w14:paraId="6FB0490D" w14:textId="7A0E6BD1" w:rsidR="00ED3CD6" w:rsidRPr="00383F3C" w:rsidRDefault="00C5491D" w:rsidP="00240FC0">
      <w:pPr>
        <w:pStyle w:val="Vnbnnidung0"/>
        <w:tabs>
          <w:tab w:val="left" w:pos="36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83F3C">
        <w:rPr>
          <w:rFonts w:ascii="Arial" w:hAnsi="Arial" w:cs="Arial"/>
          <w:color w:val="010000"/>
          <w:sz w:val="20"/>
        </w:rPr>
        <w:t xml:space="preserve">Article 1: Approve the purchase and sale of goods between Binh Tay Steel Wire Netting JSC and affiliated persons of major shareholders (attached Appendix - List of transactions with companies in the Vietnam Steel Corporation system). </w:t>
      </w:r>
    </w:p>
    <w:p w14:paraId="6FB0497A" w14:textId="68B4E975" w:rsidR="00C5491D" w:rsidRPr="00383F3C" w:rsidRDefault="00C5491D" w:rsidP="00240FC0">
      <w:pPr>
        <w:pStyle w:val="Vnbnnidung0"/>
        <w:pBdr>
          <w:bottom w:val="single" w:sz="6" w:space="1" w:color="auto"/>
        </w:pBdr>
        <w:tabs>
          <w:tab w:val="left" w:pos="360"/>
        </w:tabs>
        <w:spacing w:after="120" w:line="360" w:lineRule="auto"/>
        <w:ind w:firstLine="0"/>
        <w:jc w:val="both"/>
        <w:rPr>
          <w:rFonts w:ascii="Arial" w:hAnsi="Arial" w:cs="Arial"/>
          <w:color w:val="010000"/>
          <w:sz w:val="20"/>
        </w:rPr>
      </w:pPr>
      <w:r w:rsidRPr="00383F3C">
        <w:rPr>
          <w:rFonts w:ascii="Arial" w:hAnsi="Arial" w:cs="Arial"/>
          <w:color w:val="010000"/>
          <w:sz w:val="20"/>
        </w:rPr>
        <w:t xml:space="preserve">Article 2: This Resolution takes effect from the date of its signing. The Board of Directors assigned the </w:t>
      </w:r>
      <w:r w:rsidR="00240FC0">
        <w:rPr>
          <w:rFonts w:ascii="Arial" w:hAnsi="Arial" w:cs="Arial"/>
          <w:color w:val="010000"/>
          <w:sz w:val="20"/>
        </w:rPr>
        <w:t>Managing Director</w:t>
      </w:r>
      <w:bookmarkStart w:id="0" w:name="_GoBack"/>
      <w:bookmarkEnd w:id="0"/>
      <w:r w:rsidRPr="00383F3C">
        <w:rPr>
          <w:rFonts w:ascii="Arial" w:hAnsi="Arial" w:cs="Arial"/>
          <w:color w:val="010000"/>
          <w:sz w:val="20"/>
        </w:rPr>
        <w:t xml:space="preserve"> of the Company to organize the implementation to ensure completion of the proposed plan.</w:t>
      </w:r>
    </w:p>
    <w:p w14:paraId="216E747C" w14:textId="77777777" w:rsidR="00383F3C" w:rsidRPr="00383F3C" w:rsidRDefault="00383F3C" w:rsidP="00383F3C">
      <w:pPr>
        <w:pStyle w:val="Vnbnnidung0"/>
        <w:pBdr>
          <w:bottom w:val="single" w:sz="6" w:space="1" w:color="auto"/>
        </w:pBdr>
        <w:tabs>
          <w:tab w:val="left" w:pos="360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</w:p>
    <w:p w14:paraId="0D38EE48" w14:textId="286C5E2C" w:rsidR="00B11369" w:rsidRPr="00383F3C" w:rsidRDefault="00B11369" w:rsidP="00383F3C">
      <w:pPr>
        <w:pStyle w:val="Vnbnnidung0"/>
        <w:tabs>
          <w:tab w:val="left" w:pos="360"/>
        </w:tabs>
        <w:spacing w:after="120" w:line="360" w:lineRule="auto"/>
        <w:ind w:firstLine="0"/>
        <w:jc w:val="center"/>
        <w:rPr>
          <w:rFonts w:ascii="Arial" w:hAnsi="Arial" w:cs="Arial"/>
          <w:color w:val="010000"/>
          <w:sz w:val="20"/>
        </w:rPr>
      </w:pPr>
      <w:r w:rsidRPr="00383F3C">
        <w:rPr>
          <w:rFonts w:ascii="Arial" w:hAnsi="Arial" w:cs="Arial"/>
          <w:color w:val="010000"/>
          <w:sz w:val="20"/>
        </w:rPr>
        <w:t>Appendix</w:t>
      </w:r>
      <w:r w:rsidRPr="00383F3C">
        <w:rPr>
          <w:rFonts w:ascii="Arial" w:hAnsi="Arial" w:cs="Arial"/>
          <w:color w:val="010000"/>
          <w:sz w:val="20"/>
        </w:rPr>
        <w:br/>
        <w:t>List of transactions with Companies in the system of Vietnam Steel Corporation</w:t>
      </w:r>
    </w:p>
    <w:tbl>
      <w:tblPr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"/>
        <w:gridCol w:w="3816"/>
        <w:gridCol w:w="2338"/>
        <w:gridCol w:w="809"/>
        <w:gridCol w:w="1172"/>
        <w:gridCol w:w="2369"/>
        <w:gridCol w:w="957"/>
        <w:gridCol w:w="1041"/>
        <w:gridCol w:w="1038"/>
      </w:tblGrid>
      <w:tr w:rsidR="00B11369" w:rsidRPr="00383F3C" w14:paraId="501CDD62" w14:textId="77777777" w:rsidTr="00383F3C">
        <w:tc>
          <w:tcPr>
            <w:tcW w:w="147" w:type="pct"/>
            <w:vMerge w:val="restart"/>
            <w:shd w:val="clear" w:color="auto" w:fill="auto"/>
            <w:vAlign w:val="center"/>
            <w:hideMark/>
          </w:tcPr>
          <w:p w14:paraId="5C19E5B2" w14:textId="77777777" w:rsidR="00B11369" w:rsidRPr="00383F3C" w:rsidRDefault="00B11369" w:rsidP="00383F3C">
            <w:pPr>
              <w:pStyle w:val="Khc0"/>
              <w:tabs>
                <w:tab w:val="left" w:pos="360"/>
                <w:tab w:val="left" w:leader="hyphen" w:pos="2395"/>
                <w:tab w:val="left" w:leader="hyphen" w:pos="5362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No.</w:t>
            </w:r>
          </w:p>
        </w:tc>
        <w:tc>
          <w:tcPr>
            <w:tcW w:w="1368" w:type="pct"/>
            <w:vMerge w:val="restart"/>
            <w:shd w:val="clear" w:color="auto" w:fill="auto"/>
            <w:vAlign w:val="center"/>
            <w:hideMark/>
          </w:tcPr>
          <w:p w14:paraId="688DB793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Name of customers</w:t>
            </w:r>
          </w:p>
        </w:tc>
        <w:tc>
          <w:tcPr>
            <w:tcW w:w="1548" w:type="pct"/>
            <w:gridSpan w:val="3"/>
            <w:shd w:val="clear" w:color="auto" w:fill="auto"/>
            <w:vAlign w:val="center"/>
            <w:hideMark/>
          </w:tcPr>
          <w:p w14:paraId="1FC88168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Purchased by the Company</w:t>
            </w:r>
          </w:p>
        </w:tc>
        <w:tc>
          <w:tcPr>
            <w:tcW w:w="1565" w:type="pct"/>
            <w:gridSpan w:val="3"/>
            <w:shd w:val="clear" w:color="auto" w:fill="auto"/>
            <w:vAlign w:val="center"/>
            <w:hideMark/>
          </w:tcPr>
          <w:p w14:paraId="6A19480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Sold by the Company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  <w:hideMark/>
          </w:tcPr>
          <w:p w14:paraId="66EDE95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Total expected transaction value (Billion VND)</w:t>
            </w:r>
          </w:p>
        </w:tc>
      </w:tr>
      <w:tr w:rsidR="00B11369" w:rsidRPr="00383F3C" w14:paraId="4229106B" w14:textId="77777777" w:rsidTr="00383F3C">
        <w:tc>
          <w:tcPr>
            <w:tcW w:w="147" w:type="pct"/>
            <w:vMerge/>
            <w:shd w:val="clear" w:color="auto" w:fill="auto"/>
            <w:vAlign w:val="center"/>
            <w:hideMark/>
          </w:tcPr>
          <w:p w14:paraId="7E65D655" w14:textId="77777777" w:rsidR="00B11369" w:rsidRPr="00383F3C" w:rsidRDefault="00B11369" w:rsidP="00383F3C">
            <w:pPr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1368" w:type="pct"/>
            <w:vMerge/>
            <w:shd w:val="clear" w:color="auto" w:fill="auto"/>
            <w:vAlign w:val="center"/>
            <w:hideMark/>
          </w:tcPr>
          <w:p w14:paraId="23DC8400" w14:textId="77777777" w:rsidR="00B11369" w:rsidRPr="00383F3C" w:rsidRDefault="00B11369" w:rsidP="00383F3C">
            <w:pPr>
              <w:spacing w:after="120" w:line="360" w:lineRule="auto"/>
              <w:rPr>
                <w:rFonts w:ascii="Arial" w:eastAsia="Times New Roman" w:hAnsi="Arial" w:cs="Arial"/>
                <w:color w:val="010000"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DC0B70F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Name of goods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14:paraId="453BAA18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Volume (tons)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1CF926E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Expected transaction value (Billion VND)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1D56FB29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Name of goods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CEE1C0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Volume (tons)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5B6F57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jc w:val="center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Expected transaction value (Billion VND)</w:t>
            </w:r>
          </w:p>
        </w:tc>
        <w:tc>
          <w:tcPr>
            <w:tcW w:w="372" w:type="pct"/>
            <w:vMerge/>
            <w:shd w:val="clear" w:color="auto" w:fill="auto"/>
            <w:vAlign w:val="center"/>
            <w:hideMark/>
          </w:tcPr>
          <w:p w14:paraId="16F4A34A" w14:textId="77777777" w:rsidR="00B11369" w:rsidRPr="00383F3C" w:rsidRDefault="00B11369" w:rsidP="00383F3C">
            <w:pPr>
              <w:spacing w:after="120" w:line="360" w:lineRule="auto"/>
              <w:jc w:val="center"/>
              <w:rPr>
                <w:rFonts w:ascii="Arial" w:eastAsia="Times New Roman" w:hAnsi="Arial" w:cs="Arial"/>
                <w:color w:val="010000"/>
                <w:sz w:val="20"/>
                <w:szCs w:val="20"/>
              </w:rPr>
            </w:pPr>
          </w:p>
        </w:tc>
      </w:tr>
      <w:tr w:rsidR="00B11369" w:rsidRPr="00383F3C" w14:paraId="40C4CFF6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3C67BE1A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1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72F4AE21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VNSTEEL - VICASA JSC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FC91B28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5123880D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5B272F3E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94C332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B53C3B3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40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7878404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54E06D10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0.5</w:t>
            </w:r>
          </w:p>
        </w:tc>
      </w:tr>
      <w:tr w:rsidR="00B11369" w:rsidRPr="00383F3C" w14:paraId="07ED377F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596ADF57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2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7406F7A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Thu Duc Steel JSC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A589757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14:paraId="43B2C93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0.5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3CDEDA77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0.04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C6FCEA3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</w:tcPr>
          <w:p w14:paraId="78572106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419ACCE7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6AB39F25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0.04</w:t>
            </w:r>
          </w:p>
        </w:tc>
      </w:tr>
      <w:tr w:rsidR="00B11369" w:rsidRPr="00383F3C" w14:paraId="4A01E2D5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3276A993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3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0D544D37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Nha Be Steel JSC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7622DE2A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32B1F163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6F862DD1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09989660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DCDA6A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2.5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157E72D1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2F0766D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0.05</w:t>
            </w:r>
          </w:p>
        </w:tc>
      </w:tr>
      <w:tr w:rsidR="00B11369" w:rsidRPr="00383F3C" w14:paraId="10BC93A5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4567E836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4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3E44297F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Mechanical Engineering &amp; Metallurgy Joint Stock Company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7F8CAB9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7E85F006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35607B1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467218B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222A473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3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4AFA1D88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0.06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784BD879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0.06</w:t>
            </w:r>
          </w:p>
        </w:tc>
      </w:tr>
      <w:tr w:rsidR="00B11369" w:rsidRPr="00383F3C" w14:paraId="3A173B6A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2D78D3D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5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0F62DF95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 xml:space="preserve">Vingal – Vnsteel Industries Joint Stock </w:t>
            </w:r>
            <w:r w:rsidRPr="00383F3C">
              <w:rPr>
                <w:rFonts w:ascii="Arial" w:hAnsi="Arial" w:cs="Arial"/>
                <w:color w:val="010000"/>
              </w:rPr>
              <w:lastRenderedPageBreak/>
              <w:t>Company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F2804C2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290" w:type="pct"/>
            <w:shd w:val="clear" w:color="auto" w:fill="auto"/>
            <w:vAlign w:val="center"/>
          </w:tcPr>
          <w:p w14:paraId="1D4B7812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</w:tcPr>
          <w:p w14:paraId="734A0C19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7ABF18CF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1027B59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150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5E6EF79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621E28F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3</w:t>
            </w:r>
          </w:p>
        </w:tc>
      </w:tr>
      <w:tr w:rsidR="00B11369" w:rsidRPr="00383F3C" w14:paraId="6A828DBF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284F329E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lastRenderedPageBreak/>
              <w:t>6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01559A77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 xml:space="preserve">NIPPOVINA CO., LTD 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4C136A26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Rent warehouse, corrugated iron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1FDC0003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55F9279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0.8</w:t>
            </w:r>
          </w:p>
        </w:tc>
        <w:tc>
          <w:tcPr>
            <w:tcW w:w="849" w:type="pct"/>
            <w:shd w:val="clear" w:color="auto" w:fill="auto"/>
            <w:vAlign w:val="center"/>
            <w:hideMark/>
          </w:tcPr>
          <w:p w14:paraId="52719889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6AF5AC30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2.5</w:t>
            </w:r>
          </w:p>
        </w:tc>
        <w:tc>
          <w:tcPr>
            <w:tcW w:w="373" w:type="pct"/>
            <w:shd w:val="clear" w:color="auto" w:fill="auto"/>
            <w:vAlign w:val="center"/>
            <w:hideMark/>
          </w:tcPr>
          <w:p w14:paraId="6DDBA745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0.05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1EACE965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0.85</w:t>
            </w:r>
          </w:p>
        </w:tc>
      </w:tr>
      <w:tr w:rsidR="00B11369" w:rsidRPr="00383F3C" w14:paraId="33DC083F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2D84D239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7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5B819585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Vietnam Steel Corporation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1551EDBB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Rent Transformers</w:t>
            </w:r>
          </w:p>
        </w:tc>
        <w:tc>
          <w:tcPr>
            <w:tcW w:w="290" w:type="pct"/>
            <w:shd w:val="clear" w:color="auto" w:fill="auto"/>
            <w:vAlign w:val="center"/>
          </w:tcPr>
          <w:p w14:paraId="0319CD51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0FE6609D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0.05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141525C1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0A5628DF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266A98A1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626E1301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0.05</w:t>
            </w:r>
          </w:p>
        </w:tc>
      </w:tr>
      <w:tr w:rsidR="00B11369" w:rsidRPr="00383F3C" w14:paraId="4D7ED92B" w14:textId="77777777" w:rsidTr="00383F3C">
        <w:tc>
          <w:tcPr>
            <w:tcW w:w="147" w:type="pct"/>
            <w:shd w:val="clear" w:color="auto" w:fill="auto"/>
            <w:vAlign w:val="center"/>
            <w:hideMark/>
          </w:tcPr>
          <w:p w14:paraId="1B352E88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8</w:t>
            </w:r>
          </w:p>
        </w:tc>
        <w:tc>
          <w:tcPr>
            <w:tcW w:w="1368" w:type="pct"/>
            <w:shd w:val="clear" w:color="auto" w:fill="auto"/>
            <w:vAlign w:val="center"/>
            <w:hideMark/>
          </w:tcPr>
          <w:p w14:paraId="6246E27C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VNSTEEL - HOCHIMINH CITY METAL CORPORATION</w:t>
            </w:r>
          </w:p>
        </w:tc>
        <w:tc>
          <w:tcPr>
            <w:tcW w:w="838" w:type="pct"/>
            <w:shd w:val="clear" w:color="auto" w:fill="auto"/>
            <w:vAlign w:val="center"/>
            <w:hideMark/>
          </w:tcPr>
          <w:p w14:paraId="546B8909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Iron and steel of all kinds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14:paraId="3C74FDE1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750</w:t>
            </w:r>
          </w:p>
        </w:tc>
        <w:tc>
          <w:tcPr>
            <w:tcW w:w="420" w:type="pct"/>
            <w:shd w:val="clear" w:color="auto" w:fill="auto"/>
            <w:vAlign w:val="center"/>
            <w:hideMark/>
          </w:tcPr>
          <w:p w14:paraId="6F3C71E2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11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7CE9E070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43" w:type="pct"/>
            <w:shd w:val="clear" w:color="auto" w:fill="auto"/>
            <w:vAlign w:val="center"/>
          </w:tcPr>
          <w:p w14:paraId="335413E9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14:paraId="3B8CA8C9" w14:textId="77777777" w:rsidR="00B11369" w:rsidRPr="00383F3C" w:rsidRDefault="00B11369" w:rsidP="00383F3C">
            <w:pPr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  <w:sz w:val="20"/>
                <w:szCs w:val="10"/>
              </w:rPr>
            </w:pPr>
          </w:p>
        </w:tc>
        <w:tc>
          <w:tcPr>
            <w:tcW w:w="372" w:type="pct"/>
            <w:shd w:val="clear" w:color="auto" w:fill="auto"/>
            <w:vAlign w:val="center"/>
            <w:hideMark/>
          </w:tcPr>
          <w:p w14:paraId="1E340A60" w14:textId="77777777" w:rsidR="00B11369" w:rsidRPr="00383F3C" w:rsidRDefault="00B11369" w:rsidP="00383F3C">
            <w:pPr>
              <w:pStyle w:val="Khc0"/>
              <w:tabs>
                <w:tab w:val="left" w:pos="360"/>
              </w:tabs>
              <w:spacing w:after="120" w:line="360" w:lineRule="auto"/>
              <w:rPr>
                <w:rFonts w:ascii="Arial" w:hAnsi="Arial" w:cs="Arial"/>
                <w:color w:val="010000"/>
              </w:rPr>
            </w:pPr>
            <w:r w:rsidRPr="00383F3C">
              <w:rPr>
                <w:rFonts w:ascii="Arial" w:hAnsi="Arial" w:cs="Arial"/>
                <w:color w:val="010000"/>
              </w:rPr>
              <w:t>11</w:t>
            </w:r>
          </w:p>
        </w:tc>
      </w:tr>
    </w:tbl>
    <w:p w14:paraId="65473D0E" w14:textId="77777777" w:rsidR="00B11369" w:rsidRPr="00383F3C" w:rsidRDefault="00B11369" w:rsidP="00383F3C">
      <w:pPr>
        <w:pStyle w:val="Vnbnnidung0"/>
        <w:tabs>
          <w:tab w:val="left" w:pos="360"/>
        </w:tabs>
        <w:spacing w:after="120" w:line="360" w:lineRule="auto"/>
        <w:ind w:firstLine="0"/>
        <w:rPr>
          <w:rFonts w:ascii="Arial" w:hAnsi="Arial" w:cs="Arial"/>
          <w:color w:val="010000"/>
          <w:sz w:val="20"/>
        </w:rPr>
      </w:pPr>
    </w:p>
    <w:sectPr w:rsidR="00B11369" w:rsidRPr="00383F3C" w:rsidSect="00383F3C">
      <w:pgSz w:w="16839" w:h="11907" w:orient="landscape"/>
      <w:pgMar w:top="1440" w:right="144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8E9C3A" w14:textId="77777777" w:rsidR="004A32DB" w:rsidRDefault="004A32DB">
      <w:r>
        <w:separator/>
      </w:r>
    </w:p>
  </w:endnote>
  <w:endnote w:type="continuationSeparator" w:id="0">
    <w:p w14:paraId="0F245DA1" w14:textId="77777777" w:rsidR="004A32DB" w:rsidRDefault="004A3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4328A" w14:textId="77777777" w:rsidR="004A32DB" w:rsidRDefault="004A32DB"/>
  </w:footnote>
  <w:footnote w:type="continuationSeparator" w:id="0">
    <w:p w14:paraId="1B3B1A20" w14:textId="77777777" w:rsidR="004A32DB" w:rsidRDefault="004A32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D6"/>
    <w:rsid w:val="000C1813"/>
    <w:rsid w:val="000E32C9"/>
    <w:rsid w:val="0015322B"/>
    <w:rsid w:val="001B7AAB"/>
    <w:rsid w:val="00233DBF"/>
    <w:rsid w:val="00240FC0"/>
    <w:rsid w:val="003548E5"/>
    <w:rsid w:val="00380A19"/>
    <w:rsid w:val="00383F3C"/>
    <w:rsid w:val="00450137"/>
    <w:rsid w:val="004A32DB"/>
    <w:rsid w:val="004B05AE"/>
    <w:rsid w:val="005478C2"/>
    <w:rsid w:val="00585FF4"/>
    <w:rsid w:val="00915666"/>
    <w:rsid w:val="009227E4"/>
    <w:rsid w:val="009522D9"/>
    <w:rsid w:val="00A84A9B"/>
    <w:rsid w:val="00B11369"/>
    <w:rsid w:val="00B33F28"/>
    <w:rsid w:val="00C5491D"/>
    <w:rsid w:val="00DB53EB"/>
    <w:rsid w:val="00ED3CD6"/>
    <w:rsid w:val="00F6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B04903"/>
  <w15:docId w15:val="{605537C6-71B8-4122-8B8F-5FF071FA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A3643"/>
      <w:sz w:val="22"/>
      <w:szCs w:val="22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643"/>
      <w:sz w:val="26"/>
      <w:szCs w:val="26"/>
      <w:u w:val="none"/>
      <w:shd w:val="clear" w:color="auto" w:fill="auto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0"/>
      <w:szCs w:val="10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0000"/>
      <w:sz w:val="17"/>
      <w:szCs w:val="17"/>
      <w:u w:val="none"/>
      <w:shd w:val="clear" w:color="auto" w:fill="auto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EE4D70"/>
      <w:sz w:val="19"/>
      <w:szCs w:val="19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EE4D70"/>
      <w:sz w:val="28"/>
      <w:szCs w:val="28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3A3643"/>
      <w:sz w:val="28"/>
      <w:szCs w:val="28"/>
      <w:u w:val="none"/>
      <w:shd w:val="clear" w:color="auto" w:fill="auto"/>
    </w:rPr>
  </w:style>
  <w:style w:type="character" w:customStyle="1" w:styleId="Khc">
    <w:name w:val="Khác_"/>
    <w:basedOn w:val="DefaultParagraphFont"/>
    <w:link w:val="Kh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A3643"/>
      <w:sz w:val="20"/>
      <w:szCs w:val="20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b/>
      <w:bCs/>
      <w:color w:val="3A3643"/>
      <w:sz w:val="22"/>
      <w:szCs w:val="22"/>
    </w:rPr>
  </w:style>
  <w:style w:type="paragraph" w:customStyle="1" w:styleId="Vnbnnidung0">
    <w:name w:val="Văn bản nội dung"/>
    <w:basedOn w:val="Normal"/>
    <w:link w:val="Vnbnnidung"/>
    <w:pPr>
      <w:ind w:firstLine="190"/>
    </w:pPr>
    <w:rPr>
      <w:rFonts w:ascii="Times New Roman" w:eastAsia="Times New Roman" w:hAnsi="Times New Roman" w:cs="Times New Roman"/>
      <w:color w:val="3A3643"/>
      <w:sz w:val="26"/>
      <w:szCs w:val="26"/>
    </w:rPr>
  </w:style>
  <w:style w:type="paragraph" w:customStyle="1" w:styleId="Vnbnnidung40">
    <w:name w:val="Văn bản nội dung (4)"/>
    <w:basedOn w:val="Normal"/>
    <w:link w:val="Vnbnnidung4"/>
    <w:pPr>
      <w:ind w:hanging="1260"/>
    </w:pPr>
    <w:rPr>
      <w:rFonts w:ascii="Times New Roman" w:eastAsia="Times New Roman" w:hAnsi="Times New Roman" w:cs="Times New Roman"/>
      <w:color w:val="FF0000"/>
      <w:sz w:val="10"/>
      <w:szCs w:val="10"/>
    </w:rPr>
  </w:style>
  <w:style w:type="paragraph" w:customStyle="1" w:styleId="Vnbnnidung30">
    <w:name w:val="Văn bản nội dung (3)"/>
    <w:basedOn w:val="Normal"/>
    <w:link w:val="Vnbnnidung3"/>
    <w:pPr>
      <w:spacing w:line="223" w:lineRule="auto"/>
      <w:ind w:hanging="1260"/>
    </w:pPr>
    <w:rPr>
      <w:rFonts w:ascii="Times New Roman" w:eastAsia="Times New Roman" w:hAnsi="Times New Roman" w:cs="Times New Roman"/>
      <w:color w:val="FF0000"/>
      <w:sz w:val="17"/>
      <w:szCs w:val="17"/>
    </w:rPr>
  </w:style>
  <w:style w:type="paragraph" w:customStyle="1" w:styleId="Vnbnnidung50">
    <w:name w:val="Văn bản nội dung (5)"/>
    <w:basedOn w:val="Normal"/>
    <w:link w:val="Vnbnnidung5"/>
    <w:pPr>
      <w:jc w:val="right"/>
    </w:pPr>
    <w:rPr>
      <w:rFonts w:ascii="Times New Roman" w:eastAsia="Times New Roman" w:hAnsi="Times New Roman" w:cs="Times New Roman"/>
      <w:color w:val="EE4D70"/>
      <w:sz w:val="19"/>
      <w:szCs w:val="19"/>
    </w:rPr>
  </w:style>
  <w:style w:type="paragraph" w:customStyle="1" w:styleId="Tiu10">
    <w:name w:val="Tiêu đề #1"/>
    <w:basedOn w:val="Normal"/>
    <w:link w:val="Tiu1"/>
    <w:pPr>
      <w:ind w:left="2220"/>
      <w:outlineLvl w:val="0"/>
    </w:pPr>
    <w:rPr>
      <w:rFonts w:ascii="Times New Roman" w:eastAsia="Times New Roman" w:hAnsi="Times New Roman" w:cs="Times New Roman"/>
      <w:smallCaps/>
      <w:color w:val="EE4D70"/>
      <w:sz w:val="28"/>
      <w:szCs w:val="28"/>
    </w:rPr>
  </w:style>
  <w:style w:type="paragraph" w:customStyle="1" w:styleId="Tiu20">
    <w:name w:val="Tiêu đề #2"/>
    <w:basedOn w:val="Normal"/>
    <w:link w:val="Tiu2"/>
    <w:pPr>
      <w:spacing w:line="180" w:lineRule="auto"/>
      <w:ind w:left="2220"/>
      <w:outlineLvl w:val="1"/>
    </w:pPr>
    <w:rPr>
      <w:rFonts w:ascii="Times New Roman" w:eastAsia="Times New Roman" w:hAnsi="Times New Roman" w:cs="Times New Roman"/>
      <w:smallCaps/>
      <w:color w:val="3A3643"/>
      <w:sz w:val="28"/>
      <w:szCs w:val="28"/>
    </w:rPr>
  </w:style>
  <w:style w:type="paragraph" w:customStyle="1" w:styleId="Khc0">
    <w:name w:val="Khác"/>
    <w:basedOn w:val="Normal"/>
    <w:link w:val="Khc"/>
    <w:rPr>
      <w:rFonts w:ascii="Times New Roman" w:eastAsia="Times New Roman" w:hAnsi="Times New Roman" w:cs="Times New Roman"/>
      <w:color w:val="3A364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82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Duc Quan</cp:lastModifiedBy>
  <cp:revision>2</cp:revision>
  <dcterms:created xsi:type="dcterms:W3CDTF">2024-02-02T04:59:00Z</dcterms:created>
  <dcterms:modified xsi:type="dcterms:W3CDTF">2024-02-02T04:59:00Z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fdec7028438c9e0a9abc12352370fad762c3d841a5811d5615bb843b1906ef5c</vt:lpwstr>
  </property>
</Properties>
</file>